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18B5495"/>
    <w:p w14:paraId="4B4105BB"/>
    <w:p w14:paraId="1BDE8D6F"/>
    <w:p w14:paraId="6B2041AE"/>
    <w:p w14:paraId="0F0EE884">
      <w:pPr>
        <w:jc w:val="center"/>
      </w:pPr>
      <w:r>
        <w:rPr>
          <w:rFonts w:ascii="SimHei" w:hAnsi="SimHei" w:eastAsia="SimHei"/>
          <w:b/>
          <w:color w:val="1A3C6E"/>
          <w:sz w:val="52"/>
        </w:rPr>
        <w:t>煤矿井下监测监控传感器</w:t>
      </w:r>
      <w:r>
        <w:rPr>
          <w:rFonts w:ascii="SimHei" w:hAnsi="SimHei" w:eastAsia="SimHei"/>
          <w:b/>
          <w:color w:val="1A3C6E"/>
          <w:sz w:val="52"/>
        </w:rPr>
        <w:br w:type="textWrapping"/>
      </w:r>
      <w:r>
        <w:rPr>
          <w:rFonts w:ascii="SimHei" w:hAnsi="SimHei" w:eastAsia="SimHei"/>
          <w:b/>
          <w:color w:val="1A3C6E"/>
          <w:sz w:val="52"/>
        </w:rPr>
        <w:t>安设位置及依据一览表</w:t>
      </w:r>
    </w:p>
    <w:p w14:paraId="3DB60C6B"/>
    <w:p w14:paraId="4D770237">
      <w:pPr>
        <w:jc w:val="center"/>
      </w:pPr>
      <w:r>
        <w:rPr>
          <w:sz w:val="28"/>
        </w:rPr>
        <w:t>依据标准：</w:t>
      </w:r>
    </w:p>
    <w:p w14:paraId="2DA9B9E4">
      <w:pPr>
        <w:jc w:val="center"/>
      </w:pPr>
      <w:r>
        <w:rPr>
          <w:sz w:val="24"/>
        </w:rPr>
        <w:t>AQ1029-2019《煤矿安全监控系统及检测仪器使用管理规范》</w:t>
      </w:r>
      <w:r>
        <w:rPr>
          <w:sz w:val="24"/>
        </w:rPr>
        <w:br w:type="textWrapping"/>
      </w:r>
      <w:r>
        <w:rPr>
          <w:sz w:val="24"/>
        </w:rPr>
        <w:t>《煤矿安全规程》（2025版）</w:t>
      </w:r>
      <w:r>
        <w:rPr>
          <w:sz w:val="24"/>
        </w:rPr>
        <w:br w:type="textWrapping"/>
      </w:r>
      <w:r>
        <w:rPr>
          <w:sz w:val="24"/>
        </w:rPr>
        <w:t>《煤矿防灭火细则》（矿安〔2020〕156号）</w:t>
      </w:r>
      <w:r>
        <w:rPr>
          <w:sz w:val="24"/>
        </w:rPr>
        <w:br w:type="textWrapping"/>
      </w:r>
      <w:r>
        <w:rPr>
          <w:sz w:val="24"/>
        </w:rPr>
        <w:t>AQ6201-2019《煤矿安全监控系统通用技术要求》</w:t>
      </w:r>
      <w:r>
        <w:rPr>
          <w:sz w:val="24"/>
        </w:rPr>
        <w:br w:type="textWrapping"/>
      </w:r>
      <w:r>
        <w:rPr>
          <w:sz w:val="24"/>
        </w:rPr>
        <w:t>GB50581-2020《煤炭工业矿井监测监控系统装备配置标准》</w:t>
      </w:r>
    </w:p>
    <w:p w14:paraId="4BEDA35A"/>
    <w:p w14:paraId="04EBCD1E"/>
    <w:p w14:paraId="16FBF50E">
      <w:pPr>
        <w:jc w:val="center"/>
      </w:pPr>
      <w:r>
        <w:rPr>
          <w:color w:val="666666"/>
          <w:sz w:val="24"/>
        </w:rPr>
        <w:t>编制日期：2026年6月14日</w:t>
      </w:r>
    </w:p>
    <w:p w14:paraId="5AE87962">
      <w:r>
        <w:br w:type="page"/>
      </w:r>
    </w:p>
    <w:p w14:paraId="075F6B1E">
      <w:pPr>
        <w:pStyle w:val="3"/>
      </w:pPr>
      <w:r>
        <w:t>说  明</w:t>
      </w:r>
    </w:p>
    <w:p w14:paraId="22E1FD68">
      <w:pPr>
        <w:spacing w:after="80"/>
        <w:ind w:firstLine="480"/>
      </w:pPr>
      <w:r>
        <w:t>本表依据AQ1029-2019《煤矿安全监控系统及检测仪器使用管理规范》、《煤矿安全规程》（2025版）、《煤矿防灭火细则》等现行标准编制，汇总了煤矿井下各类传感器的安设位置、类型及具体条款依据。</w:t>
      </w:r>
    </w:p>
    <w:p w14:paraId="7FFB1180">
      <w:pPr>
        <w:spacing w:after="80"/>
        <w:ind w:firstLine="480"/>
      </w:pPr>
      <w:r>
        <w:t>表中"必装"表示强制性规定，必须安装；"宜装"表示推荐性规定，建议安装；"建议装"表示依据相关文件或行业实践推荐安装。</w:t>
      </w:r>
    </w:p>
    <w:p w14:paraId="61E45040">
      <w:pPr>
        <w:spacing w:after="80"/>
        <w:ind w:firstLine="480"/>
      </w:pPr>
      <w:r>
        <w:t>各省（区）另有加严要求的，从其规定。</w:t>
      </w:r>
    </w:p>
    <w:p w14:paraId="0D4EFD3B">
      <w:pPr>
        <w:spacing w:after="80"/>
        <w:ind w:firstLine="480"/>
      </w:pPr>
      <w:r>
        <w:t>甲烷传感器（CH₄）、一氧化碳传感器（CO）、风速传感器、风向传感器、温度传感器、烟雾传感器、粉尘传感器、水位传感器等各类传感器的报警浓度、断电浓度、复电浓度及断电范围，应严格按《煤矿安全规程》及AQ1029-2019附录A的规定执行。</w:t>
      </w:r>
    </w:p>
    <w:p w14:paraId="43ADDB4A"/>
    <w:p w14:paraId="69E9C6CF">
      <w:pPr>
        <w:pStyle w:val="3"/>
      </w:pPr>
      <w:r>
        <w:t>一、甲烷传感器（CH₄）</w:t>
      </w:r>
    </w:p>
    <w:p w14:paraId="256C0633">
      <w:pPr>
        <w:spacing w:after="120"/>
        <w:ind w:firstLine="480"/>
      </w:pPr>
      <w:r>
        <w:t>甲烷传感器是煤矿安全监控的核心，用于监测井下风流中甲烷浓度，实现超限报警与断电。</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37"/>
        <w:gridCol w:w="1433"/>
        <w:gridCol w:w="5868"/>
      </w:tblGrid>
      <w:tr w14:paraId="6E951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7272319B">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379E9C78">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4F6225CE">
            <w:pPr>
              <w:jc w:val="center"/>
            </w:pPr>
            <w:r>
              <w:rPr>
                <w:rFonts w:ascii="SimSun" w:hAnsi="SimSun" w:eastAsia="SimSun" w:cs="SimSun"/>
                <w:b/>
                <w:i w:val="0"/>
                <w:sz w:val="22"/>
              </w:rPr>
              <w:t>规范条款原文</w:t>
            </w:r>
          </w:p>
        </w:tc>
      </w:tr>
      <w:tr w14:paraId="08EFB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1862FDC">
            <w:pPr>
              <w:jc w:val="left"/>
            </w:pPr>
            <w:r>
              <w:rPr>
                <w:rFonts w:ascii="SimSun" w:hAnsi="SimSun" w:eastAsia="SimSun" w:cs="SimSun"/>
                <w:b w:val="0"/>
                <w:i w:val="0"/>
                <w:sz w:val="22"/>
              </w:rPr>
              <w:t>采煤工作面上隅角（T₀）</w:t>
            </w:r>
          </w:p>
        </w:tc>
        <w:tc>
          <w:tcPr>
            <w:tcW w:w="3213" w:type="dxa"/>
            <w:tcMar>
              <w:top w:w="100" w:type="dxa"/>
              <w:left w:w="100" w:type="dxa"/>
              <w:bottom w:w="100" w:type="dxa"/>
              <w:right w:w="100" w:type="dxa"/>
            </w:tcMar>
          </w:tcPr>
          <w:p w14:paraId="07570F0F">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2DF560AA"/>
          <w:p w14:paraId="2DA38829">
            <w:r>
              <w:rPr>
                <w:rFonts w:ascii="SimSun" w:hAnsi="SimSun" w:eastAsia="SimSun"/>
                <w:sz w:val="18"/>
              </w:rPr>
              <w:t>AQ1029-2019 第6.1.1条："长壁采煤工作面应在上隅角设置甲烷传感器T₀，距切顶线不得大于0.8m。"</w:t>
            </w:r>
            <w:r>
              <w:rPr>
                <w:rFonts w:ascii="SimSun" w:hAnsi="SimSun" w:eastAsia="SimSun"/>
                <w:sz w:val="18"/>
              </w:rPr>
              <w:br w:type="textWrapping"/>
            </w:r>
            <w:r>
              <w:rPr>
                <w:rFonts w:ascii="SimSun" w:hAnsi="SimSun" w:eastAsia="SimSun"/>
                <w:sz w:val="18"/>
              </w:rPr>
              <w:t>报警浓度≥1.0%CH₄，断电浓度≥1.5%CH₄。</w:t>
            </w:r>
          </w:p>
        </w:tc>
      </w:tr>
      <w:tr w14:paraId="5C976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B605F3C">
            <w:pPr>
              <w:jc w:val="left"/>
            </w:pPr>
            <w:r>
              <w:rPr>
                <w:rFonts w:ascii="SimSun" w:hAnsi="SimSun" w:eastAsia="SimSun" w:cs="SimSun"/>
                <w:b w:val="0"/>
                <w:i w:val="0"/>
                <w:sz w:val="22"/>
              </w:rPr>
              <w:t>采煤工作面（T₁）</w:t>
            </w:r>
          </w:p>
        </w:tc>
        <w:tc>
          <w:tcPr>
            <w:tcW w:w="3213" w:type="dxa"/>
            <w:tcMar>
              <w:top w:w="100" w:type="dxa"/>
              <w:left w:w="100" w:type="dxa"/>
              <w:bottom w:w="100" w:type="dxa"/>
              <w:right w:w="100" w:type="dxa"/>
            </w:tcMar>
          </w:tcPr>
          <w:p w14:paraId="19057B34">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12BA10A4"/>
          <w:p w14:paraId="5C960408">
            <w:r>
              <w:rPr>
                <w:rFonts w:ascii="SimSun" w:hAnsi="SimSun" w:eastAsia="SimSun"/>
                <w:sz w:val="18"/>
              </w:rPr>
              <w:t>AQ1029-2019 第6.1.1条："U形通风方式在工作面设置甲烷传感器T₁。"</w:t>
            </w:r>
            <w:r>
              <w:rPr>
                <w:rFonts w:ascii="SimSun" w:hAnsi="SimSun" w:eastAsia="SimSun"/>
                <w:sz w:val="18"/>
              </w:rPr>
              <w:br w:type="textWrapping"/>
            </w:r>
            <w:r>
              <w:rPr>
                <w:rFonts w:ascii="SimSun" w:hAnsi="SimSun" w:eastAsia="SimSun"/>
                <w:sz w:val="18"/>
              </w:rPr>
              <w:t>安设于工作面内，报警浓度≥1.0%CH₄。</w:t>
            </w:r>
          </w:p>
        </w:tc>
      </w:tr>
      <w:tr w14:paraId="08EC7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6048271">
            <w:pPr>
              <w:jc w:val="left"/>
            </w:pPr>
            <w:r>
              <w:rPr>
                <w:rFonts w:ascii="SimSun" w:hAnsi="SimSun" w:eastAsia="SimSun" w:cs="SimSun"/>
                <w:b w:val="0"/>
                <w:i w:val="0"/>
                <w:sz w:val="22"/>
              </w:rPr>
              <w:t>采煤工作面回风巷（T₂）</w:t>
            </w:r>
          </w:p>
        </w:tc>
        <w:tc>
          <w:tcPr>
            <w:tcW w:w="3213" w:type="dxa"/>
            <w:tcMar>
              <w:top w:w="100" w:type="dxa"/>
              <w:left w:w="100" w:type="dxa"/>
              <w:bottom w:w="100" w:type="dxa"/>
              <w:right w:w="100" w:type="dxa"/>
            </w:tcMar>
          </w:tcPr>
          <w:p w14:paraId="216B2C1D">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228FBBE6"/>
          <w:p w14:paraId="3BE50087">
            <w:r>
              <w:rPr>
                <w:rFonts w:ascii="SimSun" w:hAnsi="SimSun" w:eastAsia="SimSun"/>
                <w:sz w:val="18"/>
              </w:rPr>
              <w:t>AQ1029-2019 第6.1.1条："工作面回风巷设置甲烷传感器T₂，距回风口10~15m。"</w:t>
            </w:r>
            <w:r>
              <w:rPr>
                <w:rFonts w:ascii="SimSun" w:hAnsi="SimSun" w:eastAsia="SimSun"/>
                <w:sz w:val="18"/>
              </w:rPr>
              <w:br w:type="textWrapping"/>
            </w:r>
            <w:r>
              <w:rPr>
                <w:rFonts w:ascii="SimSun" w:hAnsi="SimSun" w:eastAsia="SimSun"/>
                <w:sz w:val="18"/>
              </w:rPr>
              <w:t>报警浓度≥1.0%CH₄，断电浓度≥1.0%CH₄（高瓦斯/突出矿井）或≥1.5%CH₄（低瓦斯矿井）。</w:t>
            </w:r>
          </w:p>
        </w:tc>
      </w:tr>
      <w:tr w14:paraId="3E512E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C1F922B">
            <w:pPr>
              <w:jc w:val="left"/>
            </w:pPr>
            <w:r>
              <w:rPr>
                <w:rFonts w:ascii="SimSun" w:hAnsi="SimSun" w:eastAsia="SimSun" w:cs="SimSun"/>
                <w:b w:val="0"/>
                <w:i w:val="0"/>
                <w:sz w:val="22"/>
              </w:rPr>
              <w:t>突出矿井采煤工作面进风巷（T₃）</w:t>
            </w:r>
          </w:p>
        </w:tc>
        <w:tc>
          <w:tcPr>
            <w:tcW w:w="3213" w:type="dxa"/>
            <w:tcMar>
              <w:top w:w="100" w:type="dxa"/>
              <w:left w:w="100" w:type="dxa"/>
              <w:bottom w:w="100" w:type="dxa"/>
              <w:right w:w="100" w:type="dxa"/>
            </w:tcMar>
          </w:tcPr>
          <w:p w14:paraId="02559FF9">
            <w:pPr>
              <w:jc w:val="center"/>
            </w:pPr>
            <w:r>
              <w:rPr>
                <w:rFonts w:ascii="SimSun" w:hAnsi="SimSun" w:eastAsia="SimSun" w:cs="SimSun"/>
                <w:b w:val="0"/>
                <w:i w:val="0"/>
                <w:sz w:val="22"/>
              </w:rPr>
              <w:t>✅ 必装（突出矿井）</w:t>
            </w:r>
          </w:p>
        </w:tc>
        <w:tc>
          <w:tcPr>
            <w:tcW w:w="3213" w:type="dxa"/>
            <w:tcMar>
              <w:top w:w="100" w:type="dxa"/>
              <w:left w:w="100" w:type="dxa"/>
              <w:bottom w:w="100" w:type="dxa"/>
              <w:right w:w="100" w:type="dxa"/>
            </w:tcMar>
          </w:tcPr>
          <w:p w14:paraId="7A633447"/>
          <w:p w14:paraId="39B63B8F">
            <w:r>
              <w:rPr>
                <w:rFonts w:ascii="SimSun" w:hAnsi="SimSun" w:eastAsia="SimSun"/>
                <w:sz w:val="18"/>
              </w:rPr>
              <w:t>AQ1029-2019 第6.1.2条："煤与瓦斯突出矿井的甲烷传感器T₁不能控制采煤工作面进风巷内全部非本质安全型电气设备时，应在进风巷设置甲烷传感器T₃。"</w:t>
            </w:r>
          </w:p>
        </w:tc>
      </w:tr>
      <w:tr w14:paraId="0FBCC7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3D88E39">
            <w:pPr>
              <w:jc w:val="left"/>
            </w:pPr>
            <w:r>
              <w:rPr>
                <w:rFonts w:ascii="SimSun" w:hAnsi="SimSun" w:eastAsia="SimSun" w:cs="SimSun"/>
                <w:b w:val="0"/>
                <w:i w:val="0"/>
                <w:sz w:val="22"/>
              </w:rPr>
              <w:t>被串采煤工作面进风巷（T₄）</w:t>
            </w:r>
          </w:p>
        </w:tc>
        <w:tc>
          <w:tcPr>
            <w:tcW w:w="3213" w:type="dxa"/>
            <w:tcMar>
              <w:top w:w="100" w:type="dxa"/>
              <w:left w:w="100" w:type="dxa"/>
              <w:bottom w:w="100" w:type="dxa"/>
              <w:right w:w="100" w:type="dxa"/>
            </w:tcMar>
          </w:tcPr>
          <w:p w14:paraId="538F41D5">
            <w:pPr>
              <w:jc w:val="center"/>
            </w:pPr>
            <w:r>
              <w:rPr>
                <w:rFonts w:ascii="SimSun" w:hAnsi="SimSun" w:eastAsia="SimSun" w:cs="SimSun"/>
                <w:b w:val="0"/>
                <w:i w:val="0"/>
                <w:sz w:val="22"/>
              </w:rPr>
              <w:t>✅ 必装（串联通风）</w:t>
            </w:r>
          </w:p>
        </w:tc>
        <w:tc>
          <w:tcPr>
            <w:tcW w:w="3213" w:type="dxa"/>
            <w:tcMar>
              <w:top w:w="100" w:type="dxa"/>
              <w:left w:w="100" w:type="dxa"/>
              <w:bottom w:w="100" w:type="dxa"/>
              <w:right w:w="100" w:type="dxa"/>
            </w:tcMar>
          </w:tcPr>
          <w:p w14:paraId="78E98128"/>
          <w:p w14:paraId="1229A674">
            <w:r>
              <w:rPr>
                <w:rFonts w:ascii="SimSun" w:hAnsi="SimSun" w:eastAsia="SimSun"/>
                <w:sz w:val="18"/>
              </w:rPr>
              <w:t>AQ1029-2019 第6.1.3条："低瓦斯和高瓦斯矿井采煤工作面采用串联通风时，被串工作面的进风巷设置甲烷传感器T₄。"</w:t>
            </w:r>
          </w:p>
        </w:tc>
      </w:tr>
      <w:tr w14:paraId="58614D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DACF201">
            <w:pPr>
              <w:jc w:val="left"/>
            </w:pPr>
            <w:r>
              <w:rPr>
                <w:rFonts w:ascii="SimSun" w:hAnsi="SimSun" w:eastAsia="SimSun" w:cs="SimSun"/>
                <w:b w:val="0"/>
                <w:i w:val="0"/>
                <w:sz w:val="22"/>
              </w:rPr>
              <w:t>掘进工作面（T₁）</w:t>
            </w:r>
          </w:p>
        </w:tc>
        <w:tc>
          <w:tcPr>
            <w:tcW w:w="3213" w:type="dxa"/>
            <w:tcMar>
              <w:top w:w="100" w:type="dxa"/>
              <w:left w:w="100" w:type="dxa"/>
              <w:bottom w:w="100" w:type="dxa"/>
              <w:right w:w="100" w:type="dxa"/>
            </w:tcMar>
          </w:tcPr>
          <w:p w14:paraId="606D1893">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313098AA"/>
          <w:p w14:paraId="40CB33D6">
            <w:r>
              <w:rPr>
                <w:rFonts w:ascii="SimSun" w:hAnsi="SimSun" w:eastAsia="SimSun"/>
                <w:sz w:val="18"/>
              </w:rPr>
              <w:t>AQ1029-2019 第6.3.1条："煤巷、半煤岩巷和有瓦斯涌出岩巷的掘进工作面必须在工作面设置甲烷传感器T₁，距迎头不得大于5m。"</w:t>
            </w:r>
          </w:p>
        </w:tc>
      </w:tr>
      <w:tr w14:paraId="0A5CA7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FE3E2A8">
            <w:pPr>
              <w:jc w:val="left"/>
            </w:pPr>
            <w:r>
              <w:rPr>
                <w:rFonts w:ascii="SimSun" w:hAnsi="SimSun" w:eastAsia="SimSun" w:cs="SimSun"/>
                <w:b w:val="0"/>
                <w:i w:val="0"/>
                <w:sz w:val="22"/>
              </w:rPr>
              <w:t>掘进工作面回风流（T₂）</w:t>
            </w:r>
          </w:p>
        </w:tc>
        <w:tc>
          <w:tcPr>
            <w:tcW w:w="3213" w:type="dxa"/>
            <w:tcMar>
              <w:top w:w="100" w:type="dxa"/>
              <w:left w:w="100" w:type="dxa"/>
              <w:bottom w:w="100" w:type="dxa"/>
              <w:right w:w="100" w:type="dxa"/>
            </w:tcMar>
          </w:tcPr>
          <w:p w14:paraId="4E7F1AE6">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4000385"/>
          <w:p w14:paraId="4743CDDA">
            <w:r>
              <w:rPr>
                <w:rFonts w:ascii="SimSun" w:hAnsi="SimSun" w:eastAsia="SimSun"/>
                <w:sz w:val="18"/>
              </w:rPr>
              <w:t>AQ1029-2019 第6.3.1条："掘进工作面回风流中设置甲烷传感器T₂，距回风口10~15m。"</w:t>
            </w:r>
          </w:p>
        </w:tc>
      </w:tr>
      <w:tr w14:paraId="1211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0A2C90E">
            <w:pPr>
              <w:jc w:val="left"/>
            </w:pPr>
            <w:r>
              <w:rPr>
                <w:rFonts w:ascii="SimSun" w:hAnsi="SimSun" w:eastAsia="SimSun" w:cs="SimSun"/>
                <w:b w:val="0"/>
                <w:i w:val="0"/>
                <w:sz w:val="22"/>
              </w:rPr>
              <w:t>突出矿井掘进面进风分风口（T₄）</w:t>
            </w:r>
          </w:p>
        </w:tc>
        <w:tc>
          <w:tcPr>
            <w:tcW w:w="3213" w:type="dxa"/>
            <w:tcMar>
              <w:top w:w="100" w:type="dxa"/>
              <w:left w:w="100" w:type="dxa"/>
              <w:bottom w:w="100" w:type="dxa"/>
              <w:right w:w="100" w:type="dxa"/>
            </w:tcMar>
          </w:tcPr>
          <w:p w14:paraId="4F2392B1">
            <w:pPr>
              <w:jc w:val="center"/>
            </w:pPr>
            <w:r>
              <w:rPr>
                <w:rFonts w:ascii="SimSun" w:hAnsi="SimSun" w:eastAsia="SimSun" w:cs="SimSun"/>
                <w:b w:val="0"/>
                <w:i w:val="0"/>
                <w:sz w:val="22"/>
              </w:rPr>
              <w:t>✅ 必装（突出矿井）</w:t>
            </w:r>
          </w:p>
        </w:tc>
        <w:tc>
          <w:tcPr>
            <w:tcW w:w="3213" w:type="dxa"/>
            <w:tcMar>
              <w:top w:w="100" w:type="dxa"/>
              <w:left w:w="100" w:type="dxa"/>
              <w:bottom w:w="100" w:type="dxa"/>
              <w:right w:w="100" w:type="dxa"/>
            </w:tcMar>
          </w:tcPr>
          <w:p w14:paraId="355F712F"/>
          <w:p w14:paraId="5C08248A">
            <w:r>
              <w:rPr>
                <w:rFonts w:ascii="SimSun" w:hAnsi="SimSun" w:eastAsia="SimSun"/>
                <w:sz w:val="18"/>
              </w:rPr>
              <w:t>AQ1029-2019 第6.3.1条："煤与瓦斯突出矿井掘进工作面的进风分风口处应设置甲烷传感器T₄。"</w:t>
            </w:r>
          </w:p>
        </w:tc>
      </w:tr>
      <w:tr w14:paraId="7B56E3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23307A3">
            <w:pPr>
              <w:jc w:val="left"/>
            </w:pPr>
            <w:r>
              <w:rPr>
                <w:rFonts w:ascii="SimSun" w:hAnsi="SimSun" w:eastAsia="SimSun" w:cs="SimSun"/>
                <w:b w:val="0"/>
                <w:i w:val="0"/>
                <w:sz w:val="22"/>
              </w:rPr>
              <w:t>被串掘进工作面进风巷（T串）</w:t>
            </w:r>
          </w:p>
        </w:tc>
        <w:tc>
          <w:tcPr>
            <w:tcW w:w="3213" w:type="dxa"/>
            <w:tcMar>
              <w:top w:w="100" w:type="dxa"/>
              <w:left w:w="100" w:type="dxa"/>
              <w:bottom w:w="100" w:type="dxa"/>
              <w:right w:w="100" w:type="dxa"/>
            </w:tcMar>
          </w:tcPr>
          <w:p w14:paraId="007579C9">
            <w:pPr>
              <w:jc w:val="center"/>
            </w:pPr>
            <w:r>
              <w:rPr>
                <w:rFonts w:ascii="SimSun" w:hAnsi="SimSun" w:eastAsia="SimSun" w:cs="SimSun"/>
                <w:b w:val="0"/>
                <w:i w:val="0"/>
                <w:sz w:val="22"/>
              </w:rPr>
              <w:t>✅ 必装（串联通风）</w:t>
            </w:r>
          </w:p>
        </w:tc>
        <w:tc>
          <w:tcPr>
            <w:tcW w:w="3213" w:type="dxa"/>
            <w:tcMar>
              <w:top w:w="100" w:type="dxa"/>
              <w:left w:w="100" w:type="dxa"/>
              <w:bottom w:w="100" w:type="dxa"/>
              <w:right w:w="100" w:type="dxa"/>
            </w:tcMar>
          </w:tcPr>
          <w:p w14:paraId="12825A9E"/>
          <w:p w14:paraId="312C0407">
            <w:r>
              <w:rPr>
                <w:rFonts w:ascii="SimSun" w:hAnsi="SimSun" w:eastAsia="SimSun"/>
                <w:sz w:val="18"/>
              </w:rPr>
              <w:t>AQ1029-2019 第6.3.2条："掘进工作面采用串联通风时，应在被串掘进工作面的局部通风机前3~5m处设置甲烷传感器T串。"</w:t>
            </w:r>
          </w:p>
        </w:tc>
      </w:tr>
      <w:tr w14:paraId="79F49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8BD611F">
            <w:pPr>
              <w:jc w:val="left"/>
            </w:pPr>
            <w:r>
              <w:rPr>
                <w:rFonts w:ascii="SimSun" w:hAnsi="SimSun" w:eastAsia="SimSun" w:cs="SimSun"/>
                <w:b w:val="0"/>
                <w:i w:val="0"/>
                <w:sz w:val="22"/>
              </w:rPr>
              <w:t>掘进长度＞800m的掘进巷道中部（T分）</w:t>
            </w:r>
          </w:p>
        </w:tc>
        <w:tc>
          <w:tcPr>
            <w:tcW w:w="3213" w:type="dxa"/>
            <w:tcMar>
              <w:top w:w="100" w:type="dxa"/>
              <w:left w:w="100" w:type="dxa"/>
              <w:bottom w:w="100" w:type="dxa"/>
              <w:right w:w="100" w:type="dxa"/>
            </w:tcMar>
          </w:tcPr>
          <w:p w14:paraId="179A83C2">
            <w:pPr>
              <w:jc w:val="center"/>
            </w:pPr>
            <w:r>
              <w:rPr>
                <w:rFonts w:ascii="SimSun" w:hAnsi="SimSun" w:eastAsia="SimSun" w:cs="SimSun"/>
                <w:b w:val="0"/>
                <w:i w:val="0"/>
                <w:sz w:val="22"/>
              </w:rPr>
              <w:t>✅ 必装（高瓦斯/突出矿井）</w:t>
            </w:r>
          </w:p>
        </w:tc>
        <w:tc>
          <w:tcPr>
            <w:tcW w:w="3213" w:type="dxa"/>
            <w:tcMar>
              <w:top w:w="100" w:type="dxa"/>
              <w:left w:w="100" w:type="dxa"/>
              <w:bottom w:w="100" w:type="dxa"/>
              <w:right w:w="100" w:type="dxa"/>
            </w:tcMar>
          </w:tcPr>
          <w:p w14:paraId="586D7D90"/>
          <w:p w14:paraId="31EDFE0B">
            <w:r>
              <w:rPr>
                <w:rFonts w:ascii="SimSun" w:hAnsi="SimSun" w:eastAsia="SimSun"/>
                <w:sz w:val="18"/>
              </w:rPr>
              <w:t>AQ1029-2019 第6.4.3条："高瓦斯和煤与瓦斯突出矿井的掘进工作面长度大于800m时，必须在掘进巷道中部增设甲烷传感器。"</w:t>
            </w:r>
          </w:p>
        </w:tc>
      </w:tr>
      <w:tr w14:paraId="21B0F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257A746">
            <w:pPr>
              <w:jc w:val="left"/>
            </w:pPr>
            <w:r>
              <w:rPr>
                <w:rFonts w:ascii="SimSun" w:hAnsi="SimSun" w:eastAsia="SimSun" w:cs="SimSun"/>
                <w:b w:val="0"/>
                <w:i w:val="0"/>
                <w:sz w:val="22"/>
              </w:rPr>
              <w:t>高瓦斯/突出矿井双巷掘进工作面混合回风流（T₃）</w:t>
            </w:r>
          </w:p>
        </w:tc>
        <w:tc>
          <w:tcPr>
            <w:tcW w:w="3213" w:type="dxa"/>
            <w:tcMar>
              <w:top w:w="100" w:type="dxa"/>
              <w:left w:w="100" w:type="dxa"/>
              <w:bottom w:w="100" w:type="dxa"/>
              <w:right w:w="100" w:type="dxa"/>
            </w:tcMar>
          </w:tcPr>
          <w:p w14:paraId="717222D5">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71B36678"/>
          <w:p w14:paraId="2EA6450D">
            <w:r>
              <w:rPr>
                <w:rFonts w:ascii="SimSun" w:hAnsi="SimSun" w:eastAsia="SimSun"/>
                <w:sz w:val="18"/>
              </w:rPr>
              <w:t>AQ1029-2019 第6.4.2条："高瓦斯和煤与瓦斯突出矿井双巷掘进，在工作面混合回风流处设置甲烷传感器T₃。"</w:t>
            </w:r>
          </w:p>
        </w:tc>
      </w:tr>
      <w:tr w14:paraId="1568C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4732681">
            <w:pPr>
              <w:jc w:val="left"/>
            </w:pPr>
            <w:r>
              <w:rPr>
                <w:rFonts w:ascii="SimSun" w:hAnsi="SimSun" w:eastAsia="SimSun" w:cs="SimSun"/>
                <w:b w:val="0"/>
                <w:i w:val="0"/>
                <w:sz w:val="22"/>
              </w:rPr>
              <w:t>采区回风巷测风站</w:t>
            </w:r>
          </w:p>
        </w:tc>
        <w:tc>
          <w:tcPr>
            <w:tcW w:w="3213" w:type="dxa"/>
            <w:tcMar>
              <w:top w:w="100" w:type="dxa"/>
              <w:left w:w="100" w:type="dxa"/>
              <w:bottom w:w="100" w:type="dxa"/>
              <w:right w:w="100" w:type="dxa"/>
            </w:tcMar>
          </w:tcPr>
          <w:p w14:paraId="65BFE710">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216DC314"/>
          <w:p w14:paraId="1CBF4644">
            <w:r>
              <w:rPr>
                <w:rFonts w:ascii="SimSun" w:hAnsi="SimSun" w:eastAsia="SimSun"/>
                <w:sz w:val="18"/>
              </w:rPr>
              <w:t>AQ1029-2019 第6.5条："采区回风巷、一翼回风巷、总回风巷测风站应设置甲烷传感器。"报警浓度≥0.5%CH₄。</w:t>
            </w:r>
          </w:p>
        </w:tc>
      </w:tr>
      <w:tr w14:paraId="2A263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5E39325">
            <w:pPr>
              <w:jc w:val="left"/>
            </w:pPr>
            <w:r>
              <w:rPr>
                <w:rFonts w:ascii="SimSun" w:hAnsi="SimSun" w:eastAsia="SimSun" w:cs="SimSun"/>
                <w:b w:val="0"/>
                <w:i w:val="0"/>
                <w:sz w:val="22"/>
              </w:rPr>
              <w:t>一翼回风巷测风站</w:t>
            </w:r>
          </w:p>
        </w:tc>
        <w:tc>
          <w:tcPr>
            <w:tcW w:w="3213" w:type="dxa"/>
            <w:tcMar>
              <w:top w:w="100" w:type="dxa"/>
              <w:left w:w="100" w:type="dxa"/>
              <w:bottom w:w="100" w:type="dxa"/>
              <w:right w:w="100" w:type="dxa"/>
            </w:tcMar>
          </w:tcPr>
          <w:p w14:paraId="2AB6F7B4">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0CAB31E"/>
          <w:p w14:paraId="6079BBEE">
            <w:r>
              <w:rPr>
                <w:rFonts w:ascii="SimSun" w:hAnsi="SimSun" w:eastAsia="SimSun"/>
                <w:sz w:val="18"/>
              </w:rPr>
              <w:t>AQ1029-2019 第6.5条（同上）</w:t>
            </w:r>
          </w:p>
        </w:tc>
      </w:tr>
      <w:tr w14:paraId="1AF4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7333397">
            <w:pPr>
              <w:jc w:val="left"/>
            </w:pPr>
            <w:r>
              <w:rPr>
                <w:rFonts w:ascii="SimSun" w:hAnsi="SimSun" w:eastAsia="SimSun" w:cs="SimSun"/>
                <w:b w:val="0"/>
                <w:i w:val="0"/>
                <w:sz w:val="22"/>
              </w:rPr>
              <w:t>总回风巷测风站</w:t>
            </w:r>
          </w:p>
        </w:tc>
        <w:tc>
          <w:tcPr>
            <w:tcW w:w="3213" w:type="dxa"/>
            <w:tcMar>
              <w:top w:w="100" w:type="dxa"/>
              <w:left w:w="100" w:type="dxa"/>
              <w:bottom w:w="100" w:type="dxa"/>
              <w:right w:w="100" w:type="dxa"/>
            </w:tcMar>
          </w:tcPr>
          <w:p w14:paraId="459F18BF">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D352851"/>
          <w:p w14:paraId="49827256">
            <w:r>
              <w:rPr>
                <w:rFonts w:ascii="SimSun" w:hAnsi="SimSun" w:eastAsia="SimSun"/>
                <w:sz w:val="18"/>
              </w:rPr>
              <w:t>AQ1029-2019 第6.5条（同上）</w:t>
            </w:r>
          </w:p>
        </w:tc>
      </w:tr>
      <w:tr w14:paraId="68996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E8FD2A0">
            <w:pPr>
              <w:jc w:val="left"/>
            </w:pPr>
            <w:r>
              <w:rPr>
                <w:rFonts w:ascii="SimSun" w:hAnsi="SimSun" w:eastAsia="SimSun" w:cs="SimSun"/>
                <w:b w:val="0"/>
                <w:i w:val="0"/>
                <w:sz w:val="22"/>
              </w:rPr>
              <w:t>回风流中的机电硐室进风侧</w:t>
            </w:r>
          </w:p>
        </w:tc>
        <w:tc>
          <w:tcPr>
            <w:tcW w:w="3213" w:type="dxa"/>
            <w:tcMar>
              <w:top w:w="100" w:type="dxa"/>
              <w:left w:w="100" w:type="dxa"/>
              <w:bottom w:w="100" w:type="dxa"/>
              <w:right w:w="100" w:type="dxa"/>
            </w:tcMar>
          </w:tcPr>
          <w:p w14:paraId="0CAE6AD5">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B6BFFDB"/>
          <w:p w14:paraId="21013F57">
            <w:r>
              <w:rPr>
                <w:rFonts w:ascii="SimSun" w:hAnsi="SimSun" w:eastAsia="SimSun"/>
                <w:sz w:val="18"/>
              </w:rPr>
              <w:t>AQ1029-2019 第6.6条："设在回风流中的机电硐室进风侧必须设置甲烷传感器。"报警浓度≥0.5%CH₄，断电浓度≥0.5%CH₄。</w:t>
            </w:r>
          </w:p>
        </w:tc>
      </w:tr>
      <w:tr w14:paraId="60D55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9AE1EE7">
            <w:pPr>
              <w:jc w:val="left"/>
            </w:pPr>
            <w:r>
              <w:rPr>
                <w:rFonts w:ascii="SimSun" w:hAnsi="SimSun" w:eastAsia="SimSun" w:cs="SimSun"/>
                <w:b w:val="0"/>
                <w:i w:val="0"/>
                <w:sz w:val="22"/>
              </w:rPr>
              <w:t>架线电机车装煤点</w:t>
            </w:r>
          </w:p>
        </w:tc>
        <w:tc>
          <w:tcPr>
            <w:tcW w:w="3213" w:type="dxa"/>
            <w:tcMar>
              <w:top w:w="100" w:type="dxa"/>
              <w:left w:w="100" w:type="dxa"/>
              <w:bottom w:w="100" w:type="dxa"/>
              <w:right w:w="100" w:type="dxa"/>
            </w:tcMar>
          </w:tcPr>
          <w:p w14:paraId="7C568F9B">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15DC7E87"/>
          <w:p w14:paraId="0BA6CDB0">
            <w:r>
              <w:rPr>
                <w:rFonts w:ascii="SimSun" w:hAnsi="SimSun" w:eastAsia="SimSun"/>
                <w:sz w:val="18"/>
              </w:rPr>
              <w:t>AQ1029-2019 第6.7条："使用架线电机车的主要运输巷道内，装煤点处必须设置甲烷传感器，安设于装煤点下风侧3~5m。"</w:t>
            </w:r>
          </w:p>
        </w:tc>
      </w:tr>
      <w:tr w14:paraId="600126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E7AFB43">
            <w:pPr>
              <w:jc w:val="left"/>
            </w:pPr>
            <w:r>
              <w:rPr>
                <w:rFonts w:ascii="SimSun" w:hAnsi="SimSun" w:eastAsia="SimSun" w:cs="SimSun"/>
                <w:b w:val="0"/>
                <w:i w:val="0"/>
                <w:sz w:val="22"/>
              </w:rPr>
              <w:t>高瓦斯矿井进风巷架线电机车段瓦斯涌出巷下风流</w:t>
            </w:r>
          </w:p>
        </w:tc>
        <w:tc>
          <w:tcPr>
            <w:tcW w:w="3213" w:type="dxa"/>
            <w:tcMar>
              <w:top w:w="100" w:type="dxa"/>
              <w:left w:w="100" w:type="dxa"/>
              <w:bottom w:w="100" w:type="dxa"/>
              <w:right w:w="100" w:type="dxa"/>
            </w:tcMar>
          </w:tcPr>
          <w:p w14:paraId="3610A0B3">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308D2E20"/>
          <w:p w14:paraId="23592AAD">
            <w:r>
              <w:rPr>
                <w:rFonts w:ascii="SimSun" w:hAnsi="SimSun" w:eastAsia="SimSun"/>
                <w:sz w:val="18"/>
              </w:rPr>
              <w:t>AQ1029-2019 第6.8条："高瓦斯矿井进风的主要运输巷道使用架线电机车时，在瓦斯涌出巷道的下风流中必须设置甲烷传感器。"</w:t>
            </w:r>
          </w:p>
        </w:tc>
      </w:tr>
      <w:tr w14:paraId="26EF0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42616B6">
            <w:pPr>
              <w:jc w:val="left"/>
            </w:pPr>
            <w:r>
              <w:rPr>
                <w:rFonts w:ascii="SimSun" w:hAnsi="SimSun" w:eastAsia="SimSun" w:cs="SimSun"/>
                <w:b w:val="0"/>
                <w:i w:val="0"/>
                <w:sz w:val="22"/>
              </w:rPr>
              <w:t>兼做回风井的带式输送机井筒</w:t>
            </w:r>
          </w:p>
        </w:tc>
        <w:tc>
          <w:tcPr>
            <w:tcW w:w="3213" w:type="dxa"/>
            <w:tcMar>
              <w:top w:w="100" w:type="dxa"/>
              <w:left w:w="100" w:type="dxa"/>
              <w:bottom w:w="100" w:type="dxa"/>
              <w:right w:w="100" w:type="dxa"/>
            </w:tcMar>
          </w:tcPr>
          <w:p w14:paraId="307C8805">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77253AF0"/>
          <w:p w14:paraId="669ACE1E">
            <w:r>
              <w:rPr>
                <w:rFonts w:ascii="SimSun" w:hAnsi="SimSun" w:eastAsia="SimSun"/>
                <w:sz w:val="18"/>
              </w:rPr>
              <w:t>AQ1029-2019 第6.10条："兼做回风井的装有带式输送机的井筒内必须设置甲烷传感器。"</w:t>
            </w:r>
          </w:p>
        </w:tc>
      </w:tr>
      <w:tr w14:paraId="39AFC6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43E78DA">
            <w:pPr>
              <w:jc w:val="left"/>
            </w:pPr>
            <w:r>
              <w:rPr>
                <w:rFonts w:ascii="SimSun" w:hAnsi="SimSun" w:eastAsia="SimSun" w:cs="SimSun"/>
                <w:b w:val="0"/>
                <w:i w:val="0"/>
                <w:sz w:val="22"/>
              </w:rPr>
              <w:t>采区/一翼/总回风巷内临时电气设备上风侧</w:t>
            </w:r>
          </w:p>
        </w:tc>
        <w:tc>
          <w:tcPr>
            <w:tcW w:w="3213" w:type="dxa"/>
            <w:tcMar>
              <w:top w:w="100" w:type="dxa"/>
              <w:left w:w="100" w:type="dxa"/>
              <w:bottom w:w="100" w:type="dxa"/>
              <w:right w:w="100" w:type="dxa"/>
            </w:tcMar>
          </w:tcPr>
          <w:p w14:paraId="04F7EBFE">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7F93BA1A"/>
          <w:p w14:paraId="7153C108">
            <w:r>
              <w:rPr>
                <w:rFonts w:ascii="SimSun" w:hAnsi="SimSun" w:eastAsia="SimSun"/>
                <w:sz w:val="18"/>
              </w:rPr>
              <w:t>AQ1029-2019 第6.11条："采区回风巷、一翼回风巷及总回风巷道内临时施工的电气设备上风侧10~15m处应设置甲烷传感器。"</w:t>
            </w:r>
          </w:p>
        </w:tc>
      </w:tr>
      <w:tr w14:paraId="1E8BA4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926356D">
            <w:pPr>
              <w:jc w:val="left"/>
            </w:pPr>
            <w:r>
              <w:rPr>
                <w:rFonts w:ascii="SimSun" w:hAnsi="SimSun" w:eastAsia="SimSun" w:cs="SimSun"/>
                <w:b w:val="0"/>
                <w:i w:val="0"/>
                <w:sz w:val="22"/>
              </w:rPr>
              <w:t>煤仓上方</w:t>
            </w:r>
          </w:p>
        </w:tc>
        <w:tc>
          <w:tcPr>
            <w:tcW w:w="3213" w:type="dxa"/>
            <w:tcMar>
              <w:top w:w="100" w:type="dxa"/>
              <w:left w:w="100" w:type="dxa"/>
              <w:bottom w:w="100" w:type="dxa"/>
              <w:right w:w="100" w:type="dxa"/>
            </w:tcMar>
          </w:tcPr>
          <w:p w14:paraId="4B18B611">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6F80FFA"/>
          <w:p w14:paraId="47586D2A">
            <w:r>
              <w:rPr>
                <w:rFonts w:ascii="SimSun" w:hAnsi="SimSun" w:eastAsia="SimSun"/>
                <w:sz w:val="18"/>
              </w:rPr>
              <w:t>《煤矿安全规程》（2025版）第499条："煤仓上方必须设置甲烷传感器。"</w:t>
            </w:r>
            <w:r>
              <w:rPr>
                <w:rFonts w:ascii="SimSun" w:hAnsi="SimSun" w:eastAsia="SimSun"/>
                <w:sz w:val="18"/>
              </w:rPr>
              <w:br w:type="textWrapping"/>
            </w:r>
            <w:r>
              <w:rPr>
                <w:rFonts w:ascii="SimSun" w:hAnsi="SimSun" w:eastAsia="SimSun"/>
                <w:sz w:val="18"/>
              </w:rPr>
              <w:t>GB50581-2020 第4.4.2条：井下煤仓应配备甲烷传感器，报警浓度≥1.5%CH₄。</w:t>
            </w:r>
          </w:p>
        </w:tc>
      </w:tr>
      <w:tr w14:paraId="41B0D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E4A6923">
            <w:pPr>
              <w:jc w:val="left"/>
            </w:pPr>
            <w:r>
              <w:rPr>
                <w:rFonts w:ascii="SimSun" w:hAnsi="SimSun" w:eastAsia="SimSun" w:cs="SimSun"/>
                <w:b w:val="0"/>
                <w:i w:val="0"/>
                <w:sz w:val="22"/>
              </w:rPr>
              <w:t>地面选煤厂煤仓上方</w:t>
            </w:r>
          </w:p>
        </w:tc>
        <w:tc>
          <w:tcPr>
            <w:tcW w:w="3213" w:type="dxa"/>
            <w:tcMar>
              <w:top w:w="100" w:type="dxa"/>
              <w:left w:w="100" w:type="dxa"/>
              <w:bottom w:w="100" w:type="dxa"/>
              <w:right w:w="100" w:type="dxa"/>
            </w:tcMar>
          </w:tcPr>
          <w:p w14:paraId="3B67493B">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3BF23F5"/>
          <w:p w14:paraId="05E65595">
            <w:r>
              <w:rPr>
                <w:rFonts w:ascii="SimSun" w:hAnsi="SimSun" w:eastAsia="SimSun"/>
                <w:sz w:val="18"/>
              </w:rPr>
              <w:t>AQ1029-2019 第6章条文："地面选煤厂煤仓上方应设置甲烷传感器。"</w:t>
            </w:r>
          </w:p>
        </w:tc>
      </w:tr>
      <w:tr w14:paraId="774CD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71559D0">
            <w:pPr>
              <w:jc w:val="left"/>
            </w:pPr>
            <w:r>
              <w:rPr>
                <w:rFonts w:ascii="SimSun" w:hAnsi="SimSun" w:eastAsia="SimSun" w:cs="SimSun"/>
                <w:b w:val="0"/>
                <w:i w:val="0"/>
                <w:sz w:val="22"/>
              </w:rPr>
              <w:t>瓦斯抽采泵站输入管路</w:t>
            </w:r>
          </w:p>
        </w:tc>
        <w:tc>
          <w:tcPr>
            <w:tcW w:w="3213" w:type="dxa"/>
            <w:tcMar>
              <w:top w:w="100" w:type="dxa"/>
              <w:left w:w="100" w:type="dxa"/>
              <w:bottom w:w="100" w:type="dxa"/>
              <w:right w:w="100" w:type="dxa"/>
            </w:tcMar>
          </w:tcPr>
          <w:p w14:paraId="62EF103C">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9B97289"/>
          <w:p w14:paraId="22E9186E">
            <w:r>
              <w:rPr>
                <w:rFonts w:ascii="SimSun" w:hAnsi="SimSun" w:eastAsia="SimSun"/>
                <w:sz w:val="18"/>
              </w:rPr>
              <w:t>AQ1029-2019："瓦斯抽采泵站的抽采泵输入管路中必须设置甲烷传感器。"</w:t>
            </w:r>
          </w:p>
        </w:tc>
      </w:tr>
      <w:tr w14:paraId="4B8E9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9CA7C06">
            <w:pPr>
              <w:jc w:val="left"/>
            </w:pPr>
            <w:r>
              <w:rPr>
                <w:rFonts w:ascii="SimSun" w:hAnsi="SimSun" w:eastAsia="SimSun" w:cs="SimSun"/>
                <w:b w:val="0"/>
                <w:i w:val="0"/>
                <w:sz w:val="22"/>
              </w:rPr>
              <w:t>瓦斯抽采干管及抽采工作面干管</w:t>
            </w:r>
          </w:p>
        </w:tc>
        <w:tc>
          <w:tcPr>
            <w:tcW w:w="3213" w:type="dxa"/>
            <w:tcMar>
              <w:top w:w="100" w:type="dxa"/>
              <w:left w:w="100" w:type="dxa"/>
              <w:bottom w:w="100" w:type="dxa"/>
              <w:right w:w="100" w:type="dxa"/>
            </w:tcMar>
          </w:tcPr>
          <w:p w14:paraId="5F5B38AF">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589C1E5"/>
          <w:p w14:paraId="70504D2F">
            <w:r>
              <w:rPr>
                <w:rFonts w:ascii="SimSun" w:hAnsi="SimSun" w:eastAsia="SimSun"/>
                <w:sz w:val="18"/>
              </w:rPr>
              <w:t>安徽省瓦斯综合治理办法（皖政办秘〔2022〕62号）："瓦斯抽采泵站的干管、抽采工作面干管必须安装甲烷监测装置。"</w:t>
            </w:r>
          </w:p>
        </w:tc>
      </w:tr>
      <w:tr w14:paraId="6EDBA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2380B83">
            <w:pPr>
              <w:jc w:val="left"/>
            </w:pPr>
            <w:r>
              <w:rPr>
                <w:rFonts w:ascii="SimSun" w:hAnsi="SimSun" w:eastAsia="SimSun" w:cs="SimSun"/>
                <w:b w:val="0"/>
                <w:i w:val="0"/>
                <w:sz w:val="22"/>
              </w:rPr>
              <w:t>封闭墙内瓦斯浓度＞3%时墙外</w:t>
            </w:r>
          </w:p>
        </w:tc>
        <w:tc>
          <w:tcPr>
            <w:tcW w:w="3213" w:type="dxa"/>
            <w:tcMar>
              <w:top w:w="100" w:type="dxa"/>
              <w:left w:w="100" w:type="dxa"/>
              <w:bottom w:w="100" w:type="dxa"/>
              <w:right w:w="100" w:type="dxa"/>
            </w:tcMar>
          </w:tcPr>
          <w:p w14:paraId="7D573486">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2BEB92C4"/>
          <w:p w14:paraId="6800B126">
            <w:r>
              <w:rPr>
                <w:rFonts w:ascii="SimSun" w:hAnsi="SimSun" w:eastAsia="SimSun"/>
                <w:sz w:val="18"/>
              </w:rPr>
              <w:t>安徽省瓦斯综合治理办法（皖政办秘〔2022〕62号）："井下生产区域内的封闭墙内瓦斯浓度超过3%的，应当在墙外设置甲烷传感器，报警浓度≥0.8%。"</w:t>
            </w:r>
          </w:p>
        </w:tc>
      </w:tr>
      <w:tr w14:paraId="25B5A2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92706C4">
            <w:pPr>
              <w:jc w:val="left"/>
            </w:pPr>
            <w:r>
              <w:rPr>
                <w:rFonts w:ascii="SimSun" w:hAnsi="SimSun" w:eastAsia="SimSun" w:cs="SimSun"/>
                <w:b w:val="0"/>
                <w:i w:val="0"/>
                <w:sz w:val="22"/>
              </w:rPr>
              <w:t>钻场施钻期间钻机回风侧</w:t>
            </w:r>
          </w:p>
        </w:tc>
        <w:tc>
          <w:tcPr>
            <w:tcW w:w="3213" w:type="dxa"/>
            <w:tcMar>
              <w:top w:w="100" w:type="dxa"/>
              <w:left w:w="100" w:type="dxa"/>
              <w:bottom w:w="100" w:type="dxa"/>
              <w:right w:w="100" w:type="dxa"/>
            </w:tcMar>
          </w:tcPr>
          <w:p w14:paraId="21F91325">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F3387A6"/>
          <w:p w14:paraId="2AEEB828">
            <w:r>
              <w:rPr>
                <w:rFonts w:ascii="SimSun" w:hAnsi="SimSun" w:eastAsia="SimSun"/>
                <w:sz w:val="18"/>
              </w:rPr>
              <w:t>山西省应急厅通知："瓦斯抽采钻场、探放水钻场等钻孔施钻期间，必须在钻机回风侧（下风侧）10m范围内设置甲烷传感器和一氧化碳传感器，并具备甲烷超限报警断电功能。"</w:t>
            </w:r>
          </w:p>
        </w:tc>
      </w:tr>
      <w:tr w14:paraId="2301B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2ACA701">
            <w:pPr>
              <w:jc w:val="left"/>
            </w:pPr>
            <w:r>
              <w:rPr>
                <w:rFonts w:ascii="SimSun" w:hAnsi="SimSun" w:eastAsia="SimSun" w:cs="SimSun"/>
                <w:b w:val="0"/>
                <w:i w:val="0"/>
                <w:sz w:val="22"/>
              </w:rPr>
              <w:t>永久避难硐室</w:t>
            </w:r>
          </w:p>
        </w:tc>
        <w:tc>
          <w:tcPr>
            <w:tcW w:w="3213" w:type="dxa"/>
            <w:tcMar>
              <w:top w:w="100" w:type="dxa"/>
              <w:left w:w="100" w:type="dxa"/>
              <w:bottom w:w="100" w:type="dxa"/>
              <w:right w:w="100" w:type="dxa"/>
            </w:tcMar>
          </w:tcPr>
          <w:p w14:paraId="34A053C8">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A2551DE"/>
          <w:p w14:paraId="0FB3B088">
            <w:r>
              <w:rPr>
                <w:rFonts w:ascii="SimSun" w:hAnsi="SimSun" w:eastAsia="SimSun"/>
                <w:sz w:val="18"/>
              </w:rPr>
              <w:t>《煤矿安全规程》："永久避难硐室出入口安装甲烷传感器；生存室内安装甲烷传感器。"</w:t>
            </w:r>
          </w:p>
        </w:tc>
      </w:tr>
      <w:tr w14:paraId="68AA2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4C785AA">
            <w:pPr>
              <w:jc w:val="left"/>
            </w:pPr>
            <w:r>
              <w:rPr>
                <w:rFonts w:ascii="SimSun" w:hAnsi="SimSun" w:eastAsia="SimSun" w:cs="SimSun"/>
                <w:b w:val="0"/>
                <w:i w:val="0"/>
                <w:sz w:val="22"/>
              </w:rPr>
              <w:t>掘进机/采煤机/锚杆钻车/梭车等移动设备</w:t>
            </w:r>
          </w:p>
        </w:tc>
        <w:tc>
          <w:tcPr>
            <w:tcW w:w="3213" w:type="dxa"/>
            <w:tcMar>
              <w:top w:w="100" w:type="dxa"/>
              <w:left w:w="100" w:type="dxa"/>
              <w:bottom w:w="100" w:type="dxa"/>
              <w:right w:w="100" w:type="dxa"/>
            </w:tcMar>
          </w:tcPr>
          <w:p w14:paraId="1ABE2B9E">
            <w:pPr>
              <w:jc w:val="center"/>
            </w:pPr>
            <w:r>
              <w:rPr>
                <w:rFonts w:ascii="SimSun" w:hAnsi="SimSun" w:eastAsia="SimSun" w:cs="SimSun"/>
                <w:b w:val="0"/>
                <w:i w:val="0"/>
                <w:sz w:val="22"/>
              </w:rPr>
              <w:t>✅ 必装（机载式）</w:t>
            </w:r>
          </w:p>
        </w:tc>
        <w:tc>
          <w:tcPr>
            <w:tcW w:w="3213" w:type="dxa"/>
            <w:tcMar>
              <w:top w:w="100" w:type="dxa"/>
              <w:left w:w="100" w:type="dxa"/>
              <w:bottom w:w="100" w:type="dxa"/>
              <w:right w:w="100" w:type="dxa"/>
            </w:tcMar>
          </w:tcPr>
          <w:p w14:paraId="76600929"/>
          <w:p w14:paraId="3DAA9B7E">
            <w:r>
              <w:rPr>
                <w:rFonts w:ascii="SimSun" w:hAnsi="SimSun" w:eastAsia="SimSun"/>
                <w:sz w:val="18"/>
              </w:rPr>
              <w:t>AQ1029-2019 第6.3.4条（新增）："掘锚一体机、连续采煤机、梭车、锚杆钻车、钻机应设置机载式甲烷断电仪或便携式甲烷检测报警仪。"</w:t>
            </w:r>
            <w:r>
              <w:rPr>
                <w:rFonts w:ascii="SimSun" w:hAnsi="SimSun" w:eastAsia="SimSun"/>
                <w:sz w:val="18"/>
              </w:rPr>
              <w:br w:type="textWrapping"/>
            </w:r>
            <w:r>
              <w:rPr>
                <w:rFonts w:ascii="SimSun" w:hAnsi="SimSun" w:eastAsia="SimSun"/>
                <w:sz w:val="18"/>
              </w:rPr>
              <w:t>2016年修订意见："矿用防爆型柴油机车、无轨胶轮车等移动设备也应设置机载式甲烷检测报警仪。"</w:t>
            </w:r>
          </w:p>
        </w:tc>
      </w:tr>
    </w:tbl>
    <w:p w14:paraId="63A1AAD0"/>
    <w:p w14:paraId="000444C6">
      <w:pPr>
        <w:pStyle w:val="3"/>
      </w:pPr>
      <w:r>
        <w:t>二、一氧化碳传感器（CO）</w:t>
      </w:r>
    </w:p>
    <w:p w14:paraId="0C46A8DD">
      <w:pPr>
        <w:spacing w:after="120"/>
        <w:ind w:firstLine="480"/>
      </w:pPr>
      <w:r>
        <w:t>一氧化碳传感器用于早期火灾预警（内因火灾与外因火灾）及柴油车辆尾气环境监测。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1414"/>
        <w:gridCol w:w="5906"/>
      </w:tblGrid>
      <w:tr w14:paraId="5D40E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628BEEB4">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49F7BF72">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42B648D6">
            <w:pPr>
              <w:jc w:val="center"/>
            </w:pPr>
            <w:r>
              <w:rPr>
                <w:rFonts w:ascii="SimSun" w:hAnsi="SimSun" w:eastAsia="SimSun" w:cs="SimSun"/>
                <w:b/>
                <w:i w:val="0"/>
                <w:sz w:val="22"/>
              </w:rPr>
              <w:t>规范条款原文</w:t>
            </w:r>
          </w:p>
        </w:tc>
      </w:tr>
      <w:tr w14:paraId="31DE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1F6F794">
            <w:pPr>
              <w:jc w:val="left"/>
            </w:pPr>
            <w:r>
              <w:rPr>
                <w:rFonts w:ascii="SimSun" w:hAnsi="SimSun" w:eastAsia="SimSun" w:cs="SimSun"/>
                <w:b w:val="0"/>
                <w:i w:val="0"/>
                <w:sz w:val="22"/>
              </w:rPr>
              <w:t>自燃/容易自燃煤层采煤工作面回风隅角</w:t>
            </w:r>
          </w:p>
        </w:tc>
        <w:tc>
          <w:tcPr>
            <w:tcW w:w="3213" w:type="dxa"/>
            <w:tcMar>
              <w:top w:w="100" w:type="dxa"/>
              <w:left w:w="100" w:type="dxa"/>
              <w:bottom w:w="100" w:type="dxa"/>
              <w:right w:w="100" w:type="dxa"/>
            </w:tcMar>
          </w:tcPr>
          <w:p w14:paraId="3A45690F">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29FF2ACB"/>
          <w:p w14:paraId="3DE2B51B">
            <w:r>
              <w:rPr>
                <w:rFonts w:ascii="SimSun" w:hAnsi="SimSun" w:eastAsia="SimSun"/>
                <w:sz w:val="18"/>
              </w:rPr>
              <w:t>AQ1029-2019 第7.1.2条："开采容易自燃、自燃煤层的采煤工作面必须至少设置一个一氧化碳传感器，地点可设置在上隅角、工作面或工作面回风巷。"</w:t>
            </w:r>
            <w:r>
              <w:rPr>
                <w:rFonts w:ascii="SimSun" w:hAnsi="SimSun" w:eastAsia="SimSun"/>
                <w:sz w:val="18"/>
              </w:rPr>
              <w:br w:type="textWrapping"/>
            </w:r>
            <w:r>
              <w:rPr>
                <w:rFonts w:ascii="SimSun" w:hAnsi="SimSun" w:eastAsia="SimSun"/>
                <w:sz w:val="18"/>
              </w:rPr>
              <w:t>《煤矿防灭火细则》第53条："开采自燃和容易自燃煤层，应在回风隅角、工作面或工作面回风巷安设一氧化碳传感器。"</w:t>
            </w:r>
            <w:r>
              <w:rPr>
                <w:rFonts w:ascii="SimSun" w:hAnsi="SimSun" w:eastAsia="SimSun"/>
                <w:sz w:val="18"/>
              </w:rPr>
              <w:br w:type="textWrapping"/>
            </w:r>
            <w:r>
              <w:rPr>
                <w:rFonts w:ascii="SimSun" w:hAnsi="SimSun" w:eastAsia="SimSun"/>
                <w:sz w:val="18"/>
              </w:rPr>
              <w:t>报警浓度≥0.0024%CO（24ppm）。</w:t>
            </w:r>
          </w:p>
        </w:tc>
      </w:tr>
      <w:tr w14:paraId="46DF9C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9AA5108">
            <w:pPr>
              <w:jc w:val="left"/>
            </w:pPr>
            <w:r>
              <w:rPr>
                <w:rFonts w:ascii="SimSun" w:hAnsi="SimSun" w:eastAsia="SimSun" w:cs="SimSun"/>
                <w:b w:val="0"/>
                <w:i w:val="0"/>
                <w:sz w:val="22"/>
              </w:rPr>
              <w:t>自燃/容易自燃煤层采煤工作面回风巷</w:t>
            </w:r>
          </w:p>
        </w:tc>
        <w:tc>
          <w:tcPr>
            <w:tcW w:w="3213" w:type="dxa"/>
            <w:tcMar>
              <w:top w:w="100" w:type="dxa"/>
              <w:left w:w="100" w:type="dxa"/>
              <w:bottom w:w="100" w:type="dxa"/>
              <w:right w:w="100" w:type="dxa"/>
            </w:tcMar>
          </w:tcPr>
          <w:p w14:paraId="486E0C51">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BA33860"/>
          <w:p w14:paraId="513F2033">
            <w:r>
              <w:rPr>
                <w:rFonts w:ascii="SimSun" w:hAnsi="SimSun" w:eastAsia="SimSun"/>
                <w:sz w:val="18"/>
              </w:rPr>
              <w:t>AQ1029-2019 第7.1.2条；《煤矿防灭火细则》第53条。</w:t>
            </w:r>
            <w:r>
              <w:rPr>
                <w:rFonts w:ascii="SimSun" w:hAnsi="SimSun" w:eastAsia="SimSun"/>
                <w:sz w:val="18"/>
              </w:rPr>
              <w:br w:type="textWrapping"/>
            </w:r>
            <w:r>
              <w:rPr>
                <w:rFonts w:ascii="SimSun" w:hAnsi="SimSun" w:eastAsia="SimSun"/>
                <w:sz w:val="18"/>
              </w:rPr>
              <w:t>距回风绕道10~15m范围内，报警浓度≥0.0024%CO。</w:t>
            </w:r>
          </w:p>
        </w:tc>
      </w:tr>
      <w:tr w14:paraId="5DCFC9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185EAA4">
            <w:pPr>
              <w:jc w:val="left"/>
            </w:pPr>
            <w:r>
              <w:rPr>
                <w:rFonts w:ascii="SimSun" w:hAnsi="SimSun" w:eastAsia="SimSun" w:cs="SimSun"/>
                <w:b w:val="0"/>
                <w:i w:val="0"/>
                <w:sz w:val="22"/>
              </w:rPr>
              <w:t>采区回风巷</w:t>
            </w:r>
          </w:p>
        </w:tc>
        <w:tc>
          <w:tcPr>
            <w:tcW w:w="3213" w:type="dxa"/>
            <w:tcMar>
              <w:top w:w="100" w:type="dxa"/>
              <w:left w:w="100" w:type="dxa"/>
              <w:bottom w:w="100" w:type="dxa"/>
              <w:right w:w="100" w:type="dxa"/>
            </w:tcMar>
          </w:tcPr>
          <w:p w14:paraId="47FB4C0A">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FE16D11"/>
          <w:p w14:paraId="36E6908F">
            <w:r>
              <w:rPr>
                <w:rFonts w:ascii="SimSun" w:hAnsi="SimSun" w:eastAsia="SimSun"/>
                <w:sz w:val="18"/>
              </w:rPr>
              <w:t>《煤矿防灭火细则》第53条："采区回风巷、一翼回风巷和总回风巷，应当设置一氧化碳传感器。"</w:t>
            </w:r>
          </w:p>
        </w:tc>
      </w:tr>
      <w:tr w14:paraId="78A7D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B43EECA">
            <w:pPr>
              <w:jc w:val="left"/>
            </w:pPr>
            <w:r>
              <w:rPr>
                <w:rFonts w:ascii="SimSun" w:hAnsi="SimSun" w:eastAsia="SimSun" w:cs="SimSun"/>
                <w:b w:val="0"/>
                <w:i w:val="0"/>
                <w:sz w:val="22"/>
              </w:rPr>
              <w:t>一翼回风巷</w:t>
            </w:r>
          </w:p>
        </w:tc>
        <w:tc>
          <w:tcPr>
            <w:tcW w:w="3213" w:type="dxa"/>
            <w:tcMar>
              <w:top w:w="100" w:type="dxa"/>
              <w:left w:w="100" w:type="dxa"/>
              <w:bottom w:w="100" w:type="dxa"/>
              <w:right w:w="100" w:type="dxa"/>
            </w:tcMar>
          </w:tcPr>
          <w:p w14:paraId="32E925BE">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33BBBC11"/>
          <w:p w14:paraId="7491EEB2">
            <w:r>
              <w:rPr>
                <w:rFonts w:ascii="SimSun" w:hAnsi="SimSun" w:eastAsia="SimSun"/>
                <w:sz w:val="18"/>
              </w:rPr>
              <w:t>《煤矿防灭火细则》第53条（同上）</w:t>
            </w:r>
          </w:p>
        </w:tc>
      </w:tr>
      <w:tr w14:paraId="770A30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7A4F2A2">
            <w:pPr>
              <w:jc w:val="left"/>
            </w:pPr>
            <w:r>
              <w:rPr>
                <w:rFonts w:ascii="SimSun" w:hAnsi="SimSun" w:eastAsia="SimSun" w:cs="SimSun"/>
                <w:b w:val="0"/>
                <w:i w:val="0"/>
                <w:sz w:val="22"/>
              </w:rPr>
              <w:t>总回风巷</w:t>
            </w:r>
          </w:p>
        </w:tc>
        <w:tc>
          <w:tcPr>
            <w:tcW w:w="3213" w:type="dxa"/>
            <w:tcMar>
              <w:top w:w="100" w:type="dxa"/>
              <w:left w:w="100" w:type="dxa"/>
              <w:bottom w:w="100" w:type="dxa"/>
              <w:right w:w="100" w:type="dxa"/>
            </w:tcMar>
          </w:tcPr>
          <w:p w14:paraId="5ADB0261">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2622A13A"/>
          <w:p w14:paraId="2659C15F">
            <w:r>
              <w:rPr>
                <w:rFonts w:ascii="SimSun" w:hAnsi="SimSun" w:eastAsia="SimSun"/>
                <w:sz w:val="18"/>
              </w:rPr>
              <w:t>《煤矿防灭火细则》第53条（同上）</w:t>
            </w:r>
          </w:p>
        </w:tc>
      </w:tr>
      <w:tr w14:paraId="27FDE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2225A47">
            <w:pPr>
              <w:jc w:val="left"/>
            </w:pPr>
            <w:r>
              <w:rPr>
                <w:rFonts w:ascii="SimSun" w:hAnsi="SimSun" w:eastAsia="SimSun" w:cs="SimSun"/>
                <w:b w:val="0"/>
                <w:i w:val="0"/>
                <w:sz w:val="22"/>
              </w:rPr>
              <w:t>封闭火区防火墙外</w:t>
            </w:r>
          </w:p>
        </w:tc>
        <w:tc>
          <w:tcPr>
            <w:tcW w:w="3213" w:type="dxa"/>
            <w:tcMar>
              <w:top w:w="100" w:type="dxa"/>
              <w:left w:w="100" w:type="dxa"/>
              <w:bottom w:w="100" w:type="dxa"/>
              <w:right w:w="100" w:type="dxa"/>
            </w:tcMar>
          </w:tcPr>
          <w:p w14:paraId="6CE5D1DB">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1BD4E351"/>
          <w:p w14:paraId="4094E973">
            <w:r>
              <w:rPr>
                <w:rFonts w:ascii="SimSun" w:hAnsi="SimSun" w:eastAsia="SimSun"/>
                <w:sz w:val="18"/>
              </w:rPr>
              <w:t>《煤矿防灭火细则》第53条："封闭火区防火墙外应当设置一氧化碳传感器。"</w:t>
            </w:r>
          </w:p>
        </w:tc>
      </w:tr>
      <w:tr w14:paraId="7EE6B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3BB469C">
            <w:pPr>
              <w:jc w:val="left"/>
            </w:pPr>
            <w:r>
              <w:rPr>
                <w:rFonts w:ascii="SimSun" w:hAnsi="SimSun" w:eastAsia="SimSun" w:cs="SimSun"/>
                <w:b w:val="0"/>
                <w:i w:val="0"/>
                <w:sz w:val="22"/>
              </w:rPr>
              <w:t>带式输送机驱动滚筒下风侧10~15m</w:t>
            </w:r>
          </w:p>
        </w:tc>
        <w:tc>
          <w:tcPr>
            <w:tcW w:w="3213" w:type="dxa"/>
            <w:tcMar>
              <w:top w:w="100" w:type="dxa"/>
              <w:left w:w="100" w:type="dxa"/>
              <w:bottom w:w="100" w:type="dxa"/>
              <w:right w:w="100" w:type="dxa"/>
            </w:tcMar>
          </w:tcPr>
          <w:p w14:paraId="58A329E0">
            <w:pPr>
              <w:jc w:val="center"/>
            </w:pPr>
            <w:r>
              <w:rPr>
                <w:rFonts w:ascii="SimSun" w:hAnsi="SimSun" w:eastAsia="SimSun" w:cs="SimSun"/>
                <w:b w:val="0"/>
                <w:i w:val="0"/>
                <w:sz w:val="22"/>
              </w:rPr>
              <w:t>🔶 宜装（烟雾传感器必装）</w:t>
            </w:r>
          </w:p>
        </w:tc>
        <w:tc>
          <w:tcPr>
            <w:tcW w:w="3213" w:type="dxa"/>
            <w:tcMar>
              <w:top w:w="100" w:type="dxa"/>
              <w:left w:w="100" w:type="dxa"/>
              <w:bottom w:w="100" w:type="dxa"/>
              <w:right w:w="100" w:type="dxa"/>
            </w:tcMar>
          </w:tcPr>
          <w:p w14:paraId="5281AB7D"/>
          <w:p w14:paraId="6BC32816">
            <w:r>
              <w:rPr>
                <w:rFonts w:ascii="SimSun" w:hAnsi="SimSun" w:eastAsia="SimSun"/>
                <w:sz w:val="18"/>
              </w:rPr>
              <w:t>《煤矿防灭火细则》第55条："带式输送机驱动滚筒下风侧10~15m处应当设置烟雾传感器，宜设置一氧化碳传感器。"</w:t>
            </w:r>
            <w:r>
              <w:rPr>
                <w:rFonts w:ascii="SimSun" w:hAnsi="SimSun" w:eastAsia="SimSun"/>
                <w:sz w:val="18"/>
              </w:rPr>
              <w:br w:type="textWrapping"/>
            </w:r>
            <w:r>
              <w:rPr>
                <w:rFonts w:ascii="SimSun" w:hAnsi="SimSun" w:eastAsia="SimSun"/>
                <w:sz w:val="18"/>
              </w:rPr>
              <w:t>国家矿山安全监察局2025年文件："带式输送机应当装设温度、烟雾监测装置…驱动滚筒下风侧10~15m处应当设置烟雾、一氧化碳传感器。"（已升级为"应设"）</w:t>
            </w:r>
          </w:p>
        </w:tc>
      </w:tr>
      <w:tr w14:paraId="3D72C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248658BF">
            <w:pPr>
              <w:jc w:val="left"/>
            </w:pPr>
            <w:r>
              <w:rPr>
                <w:rFonts w:ascii="SimSun" w:hAnsi="SimSun" w:eastAsia="SimSun" w:cs="SimSun"/>
                <w:b w:val="0"/>
                <w:i w:val="0"/>
                <w:sz w:val="22"/>
              </w:rPr>
              <w:t>自燃煤层掘进半煤岩巷/煤巷回风流</w:t>
            </w:r>
          </w:p>
        </w:tc>
        <w:tc>
          <w:tcPr>
            <w:tcW w:w="3213" w:type="dxa"/>
            <w:tcMar>
              <w:top w:w="100" w:type="dxa"/>
              <w:left w:w="100" w:type="dxa"/>
              <w:bottom w:w="100" w:type="dxa"/>
              <w:right w:w="100" w:type="dxa"/>
            </w:tcMar>
          </w:tcPr>
          <w:p w14:paraId="7CC7A5A7">
            <w:pPr>
              <w:jc w:val="center"/>
            </w:pPr>
            <w:r>
              <w:rPr>
                <w:rFonts w:ascii="SimSun" w:hAnsi="SimSun" w:eastAsia="SimSun" w:cs="SimSun"/>
                <w:b w:val="0"/>
                <w:i w:val="0"/>
                <w:sz w:val="22"/>
              </w:rPr>
              <w:t>🔶 宜装（沿空掘进必装）</w:t>
            </w:r>
          </w:p>
        </w:tc>
        <w:tc>
          <w:tcPr>
            <w:tcW w:w="3213" w:type="dxa"/>
            <w:tcMar>
              <w:top w:w="100" w:type="dxa"/>
              <w:left w:w="100" w:type="dxa"/>
              <w:bottom w:w="100" w:type="dxa"/>
              <w:right w:w="100" w:type="dxa"/>
            </w:tcMar>
          </w:tcPr>
          <w:p w14:paraId="5A1A0840"/>
          <w:p w14:paraId="44465BB1">
            <w:r>
              <w:rPr>
                <w:rFonts w:ascii="SimSun" w:hAnsi="SimSun" w:eastAsia="SimSun"/>
                <w:sz w:val="18"/>
              </w:rPr>
              <w:t>《煤矿防灭火细则》第54条："在容易自燃和自燃煤层中掘进的半煤岩巷、煤巷，宜在回风流中装设一氧化碳传感器，沿空掘进时应当在回风流中装设一氧化碳传感器。"</w:t>
            </w:r>
          </w:p>
        </w:tc>
      </w:tr>
      <w:tr w14:paraId="31626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F75992E">
            <w:pPr>
              <w:jc w:val="left"/>
            </w:pPr>
            <w:r>
              <w:rPr>
                <w:rFonts w:ascii="SimSun" w:hAnsi="SimSun" w:eastAsia="SimSun" w:cs="SimSun"/>
                <w:b w:val="0"/>
                <w:i w:val="0"/>
                <w:sz w:val="22"/>
              </w:rPr>
              <w:t>临近火区/采空区的掘进工作面回风流</w:t>
            </w:r>
          </w:p>
        </w:tc>
        <w:tc>
          <w:tcPr>
            <w:tcW w:w="3213" w:type="dxa"/>
            <w:tcMar>
              <w:top w:w="100" w:type="dxa"/>
              <w:left w:w="100" w:type="dxa"/>
              <w:bottom w:w="100" w:type="dxa"/>
              <w:right w:w="100" w:type="dxa"/>
            </w:tcMar>
          </w:tcPr>
          <w:p w14:paraId="35AE0105">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93E0141"/>
          <w:p w14:paraId="6A96B817">
            <w:r>
              <w:rPr>
                <w:rFonts w:ascii="SimSun" w:hAnsi="SimSun" w:eastAsia="SimSun"/>
                <w:sz w:val="18"/>
              </w:rPr>
              <w:t>山西省应急厅通知（从严要求）："临近火区、容易自燃煤层采空区、自燃煤层采空区的掘进工作面必须在回风流中设置一氧化碳传感器。"</w:t>
            </w:r>
          </w:p>
        </w:tc>
      </w:tr>
      <w:tr w14:paraId="46A8EF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43274986">
            <w:pPr>
              <w:jc w:val="left"/>
            </w:pPr>
            <w:r>
              <w:rPr>
                <w:rFonts w:ascii="SimSun" w:hAnsi="SimSun" w:eastAsia="SimSun" w:cs="SimSun"/>
                <w:b w:val="0"/>
                <w:i w:val="0"/>
                <w:sz w:val="22"/>
              </w:rPr>
              <w:t>施工长度＞20m的煤层钻孔（干式排渣）钻机回风侧</w:t>
            </w:r>
          </w:p>
        </w:tc>
        <w:tc>
          <w:tcPr>
            <w:tcW w:w="3213" w:type="dxa"/>
            <w:tcMar>
              <w:top w:w="100" w:type="dxa"/>
              <w:left w:w="100" w:type="dxa"/>
              <w:bottom w:w="100" w:type="dxa"/>
              <w:right w:w="100" w:type="dxa"/>
            </w:tcMar>
          </w:tcPr>
          <w:p w14:paraId="05D036F2">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2FAE5DE"/>
          <w:p w14:paraId="5406A9E7">
            <w:r>
              <w:rPr>
                <w:rFonts w:ascii="SimSun" w:hAnsi="SimSun" w:eastAsia="SimSun"/>
                <w:sz w:val="18"/>
              </w:rPr>
              <w:t>《煤矿防灭火细则》第53条："施工长度大于20m的煤层钻孔，且采用干式排渣工艺施工时，应当在钻机回风侧10m范围内同一帮设置一氧化碳传感器或者悬挂一氧化碳报警仪。"</w:t>
            </w:r>
          </w:p>
        </w:tc>
      </w:tr>
      <w:tr w14:paraId="0FD5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47458EC">
            <w:pPr>
              <w:jc w:val="left"/>
            </w:pPr>
            <w:r>
              <w:rPr>
                <w:rFonts w:ascii="SimSun" w:hAnsi="SimSun" w:eastAsia="SimSun" w:cs="SimSun"/>
                <w:b w:val="0"/>
                <w:i w:val="0"/>
                <w:sz w:val="22"/>
              </w:rPr>
              <w:t>钻场施钻期间</w:t>
            </w:r>
          </w:p>
        </w:tc>
        <w:tc>
          <w:tcPr>
            <w:tcW w:w="3213" w:type="dxa"/>
            <w:tcMar>
              <w:top w:w="100" w:type="dxa"/>
              <w:left w:w="100" w:type="dxa"/>
              <w:bottom w:w="100" w:type="dxa"/>
              <w:right w:w="100" w:type="dxa"/>
            </w:tcMar>
          </w:tcPr>
          <w:p w14:paraId="3AD437CB">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7B8DBA3"/>
          <w:p w14:paraId="60F95213">
            <w:r>
              <w:rPr>
                <w:rFonts w:ascii="SimSun" w:hAnsi="SimSun" w:eastAsia="SimSun"/>
                <w:sz w:val="18"/>
              </w:rPr>
              <w:t>山西省应急厅通知："钻机回风侧（下风侧）10m范围内设置一氧化碳传感器。"</w:t>
            </w:r>
          </w:p>
        </w:tc>
      </w:tr>
      <w:tr w14:paraId="4F617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88BB8B1">
            <w:pPr>
              <w:jc w:val="left"/>
            </w:pPr>
            <w:r>
              <w:rPr>
                <w:rFonts w:ascii="SimSun" w:hAnsi="SimSun" w:eastAsia="SimSun" w:cs="SimSun"/>
                <w:b w:val="0"/>
                <w:i w:val="0"/>
                <w:sz w:val="22"/>
              </w:rPr>
              <w:t>瓦斯抽采泵站管路</w:t>
            </w:r>
          </w:p>
        </w:tc>
        <w:tc>
          <w:tcPr>
            <w:tcW w:w="3213" w:type="dxa"/>
            <w:tcMar>
              <w:top w:w="100" w:type="dxa"/>
              <w:left w:w="100" w:type="dxa"/>
              <w:bottom w:w="100" w:type="dxa"/>
              <w:right w:w="100" w:type="dxa"/>
            </w:tcMar>
          </w:tcPr>
          <w:p w14:paraId="56C8C3D9">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724831DF"/>
          <w:p w14:paraId="5EEE63D2">
            <w:r>
              <w:rPr>
                <w:rFonts w:ascii="SimSun" w:hAnsi="SimSun" w:eastAsia="SimSun"/>
                <w:sz w:val="18"/>
              </w:rPr>
              <w:t>《煤矿防灭火细则》第53条；山西省应急厅通知："瓦斯抽采泵站的抽采泵输入管路中必须设置一氧化碳传感器。"</w:t>
            </w:r>
          </w:p>
        </w:tc>
      </w:tr>
      <w:tr w14:paraId="1116B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25E874D1">
            <w:pPr>
              <w:jc w:val="left"/>
            </w:pPr>
            <w:r>
              <w:rPr>
                <w:rFonts w:ascii="SimSun" w:hAnsi="SimSun" w:eastAsia="SimSun" w:cs="SimSun"/>
                <w:b w:val="0"/>
                <w:i w:val="0"/>
                <w:sz w:val="22"/>
              </w:rPr>
              <w:t>煤仓上方</w:t>
            </w:r>
          </w:p>
        </w:tc>
        <w:tc>
          <w:tcPr>
            <w:tcW w:w="3213" w:type="dxa"/>
            <w:tcMar>
              <w:top w:w="100" w:type="dxa"/>
              <w:left w:w="100" w:type="dxa"/>
              <w:bottom w:w="100" w:type="dxa"/>
              <w:right w:w="100" w:type="dxa"/>
            </w:tcMar>
          </w:tcPr>
          <w:p w14:paraId="69706618">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3860108"/>
          <w:p w14:paraId="1565DE31">
            <w:r>
              <w:rPr>
                <w:rFonts w:ascii="SimSun" w:hAnsi="SimSun" w:eastAsia="SimSun"/>
                <w:sz w:val="18"/>
              </w:rPr>
              <w:t>《煤矿安全规程》（2025版）第155条第（四）项："煤仓应当安装一氧化碳传感器。"</w:t>
            </w:r>
            <w:r>
              <w:rPr>
                <w:rFonts w:ascii="SimSun" w:hAnsi="SimSun" w:eastAsia="SimSun"/>
                <w:sz w:val="18"/>
              </w:rPr>
              <w:br w:type="textWrapping"/>
            </w:r>
            <w:r>
              <w:rPr>
                <w:rFonts w:ascii="SimSun" w:hAnsi="SimSun" w:eastAsia="SimSun"/>
                <w:sz w:val="18"/>
              </w:rPr>
              <w:t>GB50581-2020：煤仓上方应设一氧化碳传感器，用于自然发火预测。</w:t>
            </w:r>
          </w:p>
        </w:tc>
      </w:tr>
      <w:tr w14:paraId="3F30D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4AEFA5A">
            <w:pPr>
              <w:jc w:val="left"/>
            </w:pPr>
            <w:r>
              <w:rPr>
                <w:rFonts w:ascii="SimSun" w:hAnsi="SimSun" w:eastAsia="SimSun" w:cs="SimSun"/>
                <w:b w:val="0"/>
                <w:i w:val="0"/>
                <w:sz w:val="22"/>
              </w:rPr>
              <w:t>使用防爆柴油动力装置的矿井（柴油车通行巷道）</w:t>
            </w:r>
          </w:p>
        </w:tc>
        <w:tc>
          <w:tcPr>
            <w:tcW w:w="3213" w:type="dxa"/>
            <w:tcMar>
              <w:top w:w="100" w:type="dxa"/>
              <w:left w:w="100" w:type="dxa"/>
              <w:bottom w:w="100" w:type="dxa"/>
              <w:right w:w="100" w:type="dxa"/>
            </w:tcMar>
          </w:tcPr>
          <w:p w14:paraId="553E8026">
            <w:pPr>
              <w:jc w:val="center"/>
            </w:pPr>
            <w:r>
              <w:rPr>
                <w:rFonts w:ascii="SimSun" w:hAnsi="SimSun" w:eastAsia="SimSun" w:cs="SimSun"/>
                <w:b w:val="0"/>
                <w:i w:val="0"/>
                <w:sz w:val="22"/>
              </w:rPr>
              <w:t>🔶 建议装（仅监测不联锁断电）</w:t>
            </w:r>
          </w:p>
        </w:tc>
        <w:tc>
          <w:tcPr>
            <w:tcW w:w="3213" w:type="dxa"/>
            <w:tcMar>
              <w:top w:w="100" w:type="dxa"/>
              <w:left w:w="100" w:type="dxa"/>
              <w:bottom w:w="100" w:type="dxa"/>
              <w:right w:w="100" w:type="dxa"/>
            </w:tcMar>
          </w:tcPr>
          <w:p w14:paraId="1587FD21"/>
          <w:p w14:paraId="295FE39B">
            <w:r>
              <w:rPr>
                <w:rFonts w:ascii="SimSun" w:hAnsi="SimSun" w:eastAsia="SimSun"/>
                <w:sz w:val="18"/>
              </w:rPr>
              <w:t>《煤矿防灭火细则》；高平市应急管理局通知："使用防爆柴油动力装置的矿井应设置一氧化碳传感器和温度传感器，CO报警浓度≥0.0024%CO。"</w:t>
            </w:r>
            <w:r>
              <w:rPr>
                <w:rFonts w:ascii="SimSun" w:hAnsi="SimSun" w:eastAsia="SimSun"/>
                <w:sz w:val="18"/>
              </w:rPr>
              <w:br w:type="textWrapping"/>
            </w:r>
            <w:r>
              <w:rPr>
                <w:rFonts w:ascii="SimSun" w:hAnsi="SimSun" w:eastAsia="SimSun"/>
                <w:sz w:val="18"/>
              </w:rPr>
              <w:t>说明：该条款针对有柴油设备频繁通行的巷道，建议装设CO传感器用于环境监测，可不接入断电逻辑，防止与CH₄超限交叉干扰。</w:t>
            </w:r>
          </w:p>
        </w:tc>
      </w:tr>
      <w:tr w14:paraId="27E5D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1CE8193">
            <w:pPr>
              <w:jc w:val="left"/>
            </w:pPr>
            <w:r>
              <w:rPr>
                <w:rFonts w:ascii="SimSun" w:hAnsi="SimSun" w:eastAsia="SimSun" w:cs="SimSun"/>
                <w:b w:val="0"/>
                <w:i w:val="0"/>
                <w:sz w:val="22"/>
              </w:rPr>
              <w:t>永久避难硐室</w:t>
            </w:r>
          </w:p>
        </w:tc>
        <w:tc>
          <w:tcPr>
            <w:tcW w:w="3213" w:type="dxa"/>
            <w:tcMar>
              <w:top w:w="100" w:type="dxa"/>
              <w:left w:w="100" w:type="dxa"/>
              <w:bottom w:w="100" w:type="dxa"/>
              <w:right w:w="100" w:type="dxa"/>
            </w:tcMar>
          </w:tcPr>
          <w:p w14:paraId="10B588DA">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AB9CC1D"/>
          <w:p w14:paraId="634F679C">
            <w:r>
              <w:rPr>
                <w:rFonts w:ascii="SimSun" w:hAnsi="SimSun" w:eastAsia="SimSun"/>
                <w:sz w:val="18"/>
              </w:rPr>
              <w:t>《煤矿安全规程》："永久避难硐室过渡室安装一氧化碳传感器；生存室安装一氧化碳传感器。"</w:t>
            </w:r>
          </w:p>
        </w:tc>
      </w:tr>
    </w:tbl>
    <w:p w14:paraId="4918F524"/>
    <w:p w14:paraId="38B7AA37">
      <w:pPr>
        <w:pStyle w:val="3"/>
      </w:pPr>
      <w:r>
        <w:t>三、风速传感器</w:t>
      </w:r>
    </w:p>
    <w:p w14:paraId="5E4DB124">
      <w:pPr>
        <w:spacing w:after="120"/>
        <w:ind w:firstLine="480"/>
      </w:pPr>
      <w:r>
        <w:t>风速传感器用于监测巷道风量是否满足设计要求，是"一通三防"的关键监测参数。</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1"/>
        <w:gridCol w:w="1491"/>
        <w:gridCol w:w="5976"/>
      </w:tblGrid>
      <w:tr w14:paraId="743E5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7609F5A1">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7065DAA4">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42773D6E">
            <w:pPr>
              <w:jc w:val="center"/>
            </w:pPr>
            <w:r>
              <w:rPr>
                <w:rFonts w:ascii="SimSun" w:hAnsi="SimSun" w:eastAsia="SimSun" w:cs="SimSun"/>
                <w:b/>
                <w:i w:val="0"/>
                <w:sz w:val="22"/>
              </w:rPr>
              <w:t>规范条款原文</w:t>
            </w:r>
          </w:p>
        </w:tc>
      </w:tr>
      <w:tr w14:paraId="6C8A4E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E5295EF">
            <w:pPr>
              <w:jc w:val="left"/>
            </w:pPr>
            <w:r>
              <w:rPr>
                <w:rFonts w:ascii="SimSun" w:hAnsi="SimSun" w:eastAsia="SimSun" w:cs="SimSun"/>
                <w:b w:val="0"/>
                <w:i w:val="0"/>
                <w:sz w:val="22"/>
              </w:rPr>
              <w:t>采煤工作面回风巷</w:t>
            </w:r>
          </w:p>
        </w:tc>
        <w:tc>
          <w:tcPr>
            <w:tcW w:w="3213" w:type="dxa"/>
            <w:tcMar>
              <w:top w:w="100" w:type="dxa"/>
              <w:left w:w="100" w:type="dxa"/>
              <w:bottom w:w="100" w:type="dxa"/>
              <w:right w:w="100" w:type="dxa"/>
            </w:tcMar>
          </w:tcPr>
          <w:p w14:paraId="696EFB9C">
            <w:pPr>
              <w:jc w:val="center"/>
            </w:pPr>
            <w:r>
              <w:rPr>
                <w:rFonts w:ascii="SimSun" w:hAnsi="SimSun" w:eastAsia="SimSun" w:cs="SimSun"/>
                <w:b w:val="0"/>
                <w:i w:val="0"/>
                <w:sz w:val="22"/>
              </w:rPr>
              <w:t>✅ 必装（突出矿井）</w:t>
            </w:r>
          </w:p>
        </w:tc>
        <w:tc>
          <w:tcPr>
            <w:tcW w:w="3213" w:type="dxa"/>
            <w:tcMar>
              <w:top w:w="100" w:type="dxa"/>
              <w:left w:w="100" w:type="dxa"/>
              <w:bottom w:w="100" w:type="dxa"/>
              <w:right w:w="100" w:type="dxa"/>
            </w:tcMar>
          </w:tcPr>
          <w:p w14:paraId="7E9E920C"/>
          <w:p w14:paraId="57579EAF">
            <w:r>
              <w:rPr>
                <w:rFonts w:ascii="SimSun" w:hAnsi="SimSun" w:eastAsia="SimSun"/>
                <w:sz w:val="18"/>
              </w:rPr>
              <w:t>AQ1029-2019 第7.2条："采煤工作面回风巷应设置风速传感器。"（2019版已扩展至全部采煤面）</w:t>
            </w:r>
          </w:p>
        </w:tc>
      </w:tr>
      <w:tr w14:paraId="0A773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59E2DB5">
            <w:pPr>
              <w:jc w:val="left"/>
            </w:pPr>
            <w:r>
              <w:rPr>
                <w:rFonts w:ascii="SimSun" w:hAnsi="SimSun" w:eastAsia="SimSun" w:cs="SimSun"/>
                <w:b w:val="0"/>
                <w:i w:val="0"/>
                <w:sz w:val="22"/>
              </w:rPr>
              <w:t>掘进工作面回风流</w:t>
            </w:r>
          </w:p>
        </w:tc>
        <w:tc>
          <w:tcPr>
            <w:tcW w:w="3213" w:type="dxa"/>
            <w:tcMar>
              <w:top w:w="100" w:type="dxa"/>
              <w:left w:w="100" w:type="dxa"/>
              <w:bottom w:w="100" w:type="dxa"/>
              <w:right w:w="100" w:type="dxa"/>
            </w:tcMar>
          </w:tcPr>
          <w:p w14:paraId="1559225A">
            <w:pPr>
              <w:jc w:val="center"/>
            </w:pPr>
            <w:r>
              <w:rPr>
                <w:rFonts w:ascii="SimSun" w:hAnsi="SimSun" w:eastAsia="SimSun" w:cs="SimSun"/>
                <w:b w:val="0"/>
                <w:i w:val="0"/>
                <w:sz w:val="22"/>
              </w:rPr>
              <w:t>✅ 必装（突出矿井）</w:t>
            </w:r>
          </w:p>
        </w:tc>
        <w:tc>
          <w:tcPr>
            <w:tcW w:w="3213" w:type="dxa"/>
            <w:tcMar>
              <w:top w:w="100" w:type="dxa"/>
              <w:left w:w="100" w:type="dxa"/>
              <w:bottom w:w="100" w:type="dxa"/>
              <w:right w:w="100" w:type="dxa"/>
            </w:tcMar>
          </w:tcPr>
          <w:p w14:paraId="3C3DA3B6"/>
          <w:p w14:paraId="77140784">
            <w:r>
              <w:rPr>
                <w:rFonts w:ascii="SimSun" w:hAnsi="SimSun" w:eastAsia="SimSun"/>
                <w:sz w:val="18"/>
              </w:rPr>
              <w:t>AQ1029-2019 第7.2条；修订意见："煤与瓦斯突出煤层采煤工作面回风巷和掘进巷道回风流中应增设风速传感器。"</w:t>
            </w:r>
          </w:p>
        </w:tc>
      </w:tr>
      <w:tr w14:paraId="4E0A4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C2B6C19">
            <w:pPr>
              <w:jc w:val="left"/>
            </w:pPr>
            <w:r>
              <w:rPr>
                <w:rFonts w:ascii="SimSun" w:hAnsi="SimSun" w:eastAsia="SimSun" w:cs="SimSun"/>
                <w:b w:val="0"/>
                <w:i w:val="0"/>
                <w:sz w:val="22"/>
              </w:rPr>
              <w:t>采区回风巷测风站</w:t>
            </w:r>
          </w:p>
        </w:tc>
        <w:tc>
          <w:tcPr>
            <w:tcW w:w="3213" w:type="dxa"/>
            <w:tcMar>
              <w:top w:w="100" w:type="dxa"/>
              <w:left w:w="100" w:type="dxa"/>
              <w:bottom w:w="100" w:type="dxa"/>
              <w:right w:w="100" w:type="dxa"/>
            </w:tcMar>
          </w:tcPr>
          <w:p w14:paraId="0945450A">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71B2D20"/>
          <w:p w14:paraId="1DE6AAF6">
            <w:r>
              <w:rPr>
                <w:rFonts w:ascii="SimSun" w:hAnsi="SimSun" w:eastAsia="SimSun"/>
                <w:sz w:val="18"/>
              </w:rPr>
              <w:t>AQ1029-2019 第7.2条："采区回风巷、一翼回风巷、总回风巷的测风站应设置风速传感器。"</w:t>
            </w:r>
          </w:p>
        </w:tc>
      </w:tr>
      <w:tr w14:paraId="1460E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41EE473">
            <w:pPr>
              <w:jc w:val="left"/>
            </w:pPr>
            <w:r>
              <w:rPr>
                <w:rFonts w:ascii="SimSun" w:hAnsi="SimSun" w:eastAsia="SimSun" w:cs="SimSun"/>
                <w:b w:val="0"/>
                <w:i w:val="0"/>
                <w:sz w:val="22"/>
              </w:rPr>
              <w:t>一翼回风巷测风站</w:t>
            </w:r>
          </w:p>
        </w:tc>
        <w:tc>
          <w:tcPr>
            <w:tcW w:w="3213" w:type="dxa"/>
            <w:tcMar>
              <w:top w:w="100" w:type="dxa"/>
              <w:left w:w="100" w:type="dxa"/>
              <w:bottom w:w="100" w:type="dxa"/>
              <w:right w:w="100" w:type="dxa"/>
            </w:tcMar>
          </w:tcPr>
          <w:p w14:paraId="6C670DD0">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7249606"/>
          <w:p w14:paraId="2DCA133F">
            <w:r>
              <w:rPr>
                <w:rFonts w:ascii="SimSun" w:hAnsi="SimSun" w:eastAsia="SimSun"/>
                <w:sz w:val="18"/>
              </w:rPr>
              <w:t>AQ1029-2019 第7.2条（同上）</w:t>
            </w:r>
          </w:p>
        </w:tc>
      </w:tr>
      <w:tr w14:paraId="486DC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BF1CD3E">
            <w:pPr>
              <w:jc w:val="left"/>
            </w:pPr>
            <w:r>
              <w:rPr>
                <w:rFonts w:ascii="SimSun" w:hAnsi="SimSun" w:eastAsia="SimSun" w:cs="SimSun"/>
                <w:b w:val="0"/>
                <w:i w:val="0"/>
                <w:sz w:val="22"/>
              </w:rPr>
              <w:t>总回风巷测风站</w:t>
            </w:r>
          </w:p>
        </w:tc>
        <w:tc>
          <w:tcPr>
            <w:tcW w:w="3213" w:type="dxa"/>
            <w:tcMar>
              <w:top w:w="100" w:type="dxa"/>
              <w:left w:w="100" w:type="dxa"/>
              <w:bottom w:w="100" w:type="dxa"/>
              <w:right w:w="100" w:type="dxa"/>
            </w:tcMar>
          </w:tcPr>
          <w:p w14:paraId="7F1B9D98">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25922AD"/>
          <w:p w14:paraId="0E0A2100">
            <w:r>
              <w:rPr>
                <w:rFonts w:ascii="SimSun" w:hAnsi="SimSun" w:eastAsia="SimSun"/>
                <w:sz w:val="18"/>
              </w:rPr>
              <w:t>AQ1029-2019 第7.2条（同上）</w:t>
            </w:r>
          </w:p>
        </w:tc>
      </w:tr>
    </w:tbl>
    <w:p w14:paraId="6BCB3075"/>
    <w:p w14:paraId="4E1999B2">
      <w:pPr>
        <w:pStyle w:val="3"/>
      </w:pPr>
      <w:r>
        <w:t>四、风向传感器</w:t>
      </w:r>
    </w:p>
    <w:p w14:paraId="53F2E45E">
      <w:pPr>
        <w:spacing w:after="120"/>
        <w:ind w:firstLine="480"/>
      </w:pPr>
      <w:r>
        <w:t>风向传感器用于监测风流方向，防止风流逆转。主要用于突出矿井的关键通风节点。</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71"/>
        <w:gridCol w:w="1491"/>
        <w:gridCol w:w="5976"/>
      </w:tblGrid>
      <w:tr w14:paraId="7F4E3F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1E1832F7">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4D50AB34">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52F991E5">
            <w:pPr>
              <w:jc w:val="center"/>
            </w:pPr>
            <w:r>
              <w:rPr>
                <w:rFonts w:ascii="SimSun" w:hAnsi="SimSun" w:eastAsia="SimSun" w:cs="SimSun"/>
                <w:b/>
                <w:i w:val="0"/>
                <w:sz w:val="22"/>
              </w:rPr>
              <w:t>规范条款原文</w:t>
            </w:r>
          </w:p>
        </w:tc>
      </w:tr>
      <w:tr w14:paraId="5A86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6C2436F">
            <w:pPr>
              <w:jc w:val="left"/>
            </w:pPr>
            <w:r>
              <w:rPr>
                <w:rFonts w:ascii="SimSun" w:hAnsi="SimSun" w:eastAsia="SimSun" w:cs="SimSun"/>
                <w:b w:val="0"/>
                <w:i w:val="0"/>
                <w:sz w:val="22"/>
              </w:rPr>
              <w:t>突出矿井采煤工作面进风巷</w:t>
            </w:r>
          </w:p>
        </w:tc>
        <w:tc>
          <w:tcPr>
            <w:tcW w:w="3213" w:type="dxa"/>
            <w:tcMar>
              <w:top w:w="100" w:type="dxa"/>
              <w:left w:w="100" w:type="dxa"/>
              <w:bottom w:w="100" w:type="dxa"/>
              <w:right w:w="100" w:type="dxa"/>
            </w:tcMar>
          </w:tcPr>
          <w:p w14:paraId="44018C07">
            <w:pPr>
              <w:jc w:val="center"/>
            </w:pPr>
            <w:r>
              <w:rPr>
                <w:rFonts w:ascii="SimSun" w:hAnsi="SimSun" w:eastAsia="SimSun" w:cs="SimSun"/>
                <w:b w:val="0"/>
                <w:i w:val="0"/>
                <w:sz w:val="22"/>
              </w:rPr>
              <w:t>✅ 必装（突出矿井）</w:t>
            </w:r>
          </w:p>
        </w:tc>
        <w:tc>
          <w:tcPr>
            <w:tcW w:w="3213" w:type="dxa"/>
            <w:tcMar>
              <w:top w:w="100" w:type="dxa"/>
              <w:left w:w="100" w:type="dxa"/>
              <w:bottom w:w="100" w:type="dxa"/>
              <w:right w:w="100" w:type="dxa"/>
            </w:tcMar>
          </w:tcPr>
          <w:p w14:paraId="0734D702"/>
          <w:p w14:paraId="17D107E3">
            <w:r>
              <w:rPr>
                <w:rFonts w:ascii="SimSun" w:hAnsi="SimSun" w:eastAsia="SimSun"/>
                <w:sz w:val="18"/>
              </w:rPr>
              <w:t>AQ1029-2019 第7.4条："煤与瓦斯突出煤层采煤工作面进风巷应设置风向传感器。"</w:t>
            </w:r>
          </w:p>
        </w:tc>
      </w:tr>
      <w:tr w14:paraId="54C43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1B6DD83">
            <w:pPr>
              <w:jc w:val="left"/>
            </w:pPr>
            <w:r>
              <w:rPr>
                <w:rFonts w:ascii="SimSun" w:hAnsi="SimSun" w:eastAsia="SimSun" w:cs="SimSun"/>
                <w:b w:val="0"/>
                <w:i w:val="0"/>
                <w:sz w:val="22"/>
              </w:rPr>
              <w:t>突出矿井掘进工作面进风分风口</w:t>
            </w:r>
          </w:p>
        </w:tc>
        <w:tc>
          <w:tcPr>
            <w:tcW w:w="3213" w:type="dxa"/>
            <w:tcMar>
              <w:top w:w="100" w:type="dxa"/>
              <w:left w:w="100" w:type="dxa"/>
              <w:bottom w:w="100" w:type="dxa"/>
              <w:right w:w="100" w:type="dxa"/>
            </w:tcMar>
          </w:tcPr>
          <w:p w14:paraId="731F3225">
            <w:pPr>
              <w:jc w:val="center"/>
            </w:pPr>
            <w:r>
              <w:rPr>
                <w:rFonts w:ascii="SimSun" w:hAnsi="SimSun" w:eastAsia="SimSun" w:cs="SimSun"/>
                <w:b w:val="0"/>
                <w:i w:val="0"/>
                <w:sz w:val="22"/>
              </w:rPr>
              <w:t>✅ 必装（突出矿井）</w:t>
            </w:r>
          </w:p>
        </w:tc>
        <w:tc>
          <w:tcPr>
            <w:tcW w:w="3213" w:type="dxa"/>
            <w:tcMar>
              <w:top w:w="100" w:type="dxa"/>
              <w:left w:w="100" w:type="dxa"/>
              <w:bottom w:w="100" w:type="dxa"/>
              <w:right w:w="100" w:type="dxa"/>
            </w:tcMar>
          </w:tcPr>
          <w:p w14:paraId="6CEB04BC"/>
          <w:p w14:paraId="3EDF3492">
            <w:r>
              <w:rPr>
                <w:rFonts w:ascii="SimSun" w:hAnsi="SimSun" w:eastAsia="SimSun"/>
                <w:sz w:val="18"/>
              </w:rPr>
              <w:t>AQ1029-2019 第7.4条："煤与瓦斯突出煤层掘进工作面的进风分风口处应设置风向传感器。"</w:t>
            </w:r>
          </w:p>
        </w:tc>
      </w:tr>
    </w:tbl>
    <w:p w14:paraId="21E9E4C6"/>
    <w:p w14:paraId="69623A9A">
      <w:pPr>
        <w:pStyle w:val="3"/>
      </w:pPr>
      <w:r>
        <w:t>五、温度传感器</w:t>
      </w:r>
    </w:p>
    <w:p w14:paraId="0C97181D">
      <w:pPr>
        <w:spacing w:after="120"/>
        <w:ind w:firstLine="480"/>
      </w:pPr>
      <w:r>
        <w:t>温度传感器用于监测自然发火征兆、机电设备过热及作业环境温度。</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74"/>
        <w:gridCol w:w="1468"/>
        <w:gridCol w:w="5896"/>
      </w:tblGrid>
      <w:tr w14:paraId="278FD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1101DD87">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4ED747C7">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1D799CA8">
            <w:pPr>
              <w:jc w:val="center"/>
            </w:pPr>
            <w:r>
              <w:rPr>
                <w:rFonts w:ascii="SimSun" w:hAnsi="SimSun" w:eastAsia="SimSun" w:cs="SimSun"/>
                <w:b/>
                <w:i w:val="0"/>
                <w:sz w:val="22"/>
              </w:rPr>
              <w:t>规范条款原文</w:t>
            </w:r>
          </w:p>
        </w:tc>
      </w:tr>
      <w:tr w14:paraId="3DD1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E43B7C4">
            <w:pPr>
              <w:jc w:val="left"/>
            </w:pPr>
            <w:r>
              <w:rPr>
                <w:rFonts w:ascii="SimSun" w:hAnsi="SimSun" w:eastAsia="SimSun" w:cs="SimSun"/>
                <w:b w:val="0"/>
                <w:i w:val="0"/>
                <w:sz w:val="22"/>
              </w:rPr>
              <w:t>自燃/容易自燃煤层采煤工作面回风巷</w:t>
            </w:r>
          </w:p>
        </w:tc>
        <w:tc>
          <w:tcPr>
            <w:tcW w:w="3213" w:type="dxa"/>
            <w:tcMar>
              <w:top w:w="100" w:type="dxa"/>
              <w:left w:w="100" w:type="dxa"/>
              <w:bottom w:w="100" w:type="dxa"/>
              <w:right w:w="100" w:type="dxa"/>
            </w:tcMar>
          </w:tcPr>
          <w:p w14:paraId="3A580A69">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E48FC49"/>
          <w:p w14:paraId="0EE61006">
            <w:r>
              <w:rPr>
                <w:rFonts w:ascii="SimSun" w:hAnsi="SimSun" w:eastAsia="SimSun"/>
                <w:sz w:val="18"/>
              </w:rPr>
              <w:t>AQ1029-2019 第7.5条："开采容易自燃、自燃煤层的采煤工作面应在回风巷设置温度传感器。"</w:t>
            </w:r>
            <w:r>
              <w:rPr>
                <w:rFonts w:ascii="SimSun" w:hAnsi="SimSun" w:eastAsia="SimSun"/>
                <w:sz w:val="18"/>
              </w:rPr>
              <w:br w:type="textWrapping"/>
            </w:r>
            <w:r>
              <w:rPr>
                <w:rFonts w:ascii="SimSun" w:hAnsi="SimSun" w:eastAsia="SimSun"/>
                <w:sz w:val="18"/>
              </w:rPr>
              <w:t>报警值≥30℃。</w:t>
            </w:r>
          </w:p>
        </w:tc>
      </w:tr>
      <w:tr w14:paraId="079825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AA3F718">
            <w:pPr>
              <w:jc w:val="left"/>
            </w:pPr>
            <w:r>
              <w:rPr>
                <w:rFonts w:ascii="SimSun" w:hAnsi="SimSun" w:eastAsia="SimSun" w:cs="SimSun"/>
                <w:b w:val="0"/>
                <w:i w:val="0"/>
                <w:sz w:val="22"/>
              </w:rPr>
              <w:t>机电设备硐室</w:t>
            </w:r>
          </w:p>
        </w:tc>
        <w:tc>
          <w:tcPr>
            <w:tcW w:w="3213" w:type="dxa"/>
            <w:tcMar>
              <w:top w:w="100" w:type="dxa"/>
              <w:left w:w="100" w:type="dxa"/>
              <w:bottom w:w="100" w:type="dxa"/>
              <w:right w:w="100" w:type="dxa"/>
            </w:tcMar>
          </w:tcPr>
          <w:p w14:paraId="6A0E701D">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DA616A1"/>
          <w:p w14:paraId="78501154">
            <w:r>
              <w:rPr>
                <w:rFonts w:ascii="SimSun" w:hAnsi="SimSun" w:eastAsia="SimSun"/>
                <w:sz w:val="18"/>
              </w:rPr>
              <w:t>《煤矿防灭火细则》第56条："机电设备硐室应当设置温度传感器。"</w:t>
            </w:r>
            <w:r>
              <w:rPr>
                <w:rFonts w:ascii="SimSun" w:hAnsi="SimSun" w:eastAsia="SimSun"/>
                <w:sz w:val="18"/>
              </w:rPr>
              <w:br w:type="textWrapping"/>
            </w:r>
            <w:r>
              <w:rPr>
                <w:rFonts w:ascii="SimSun" w:hAnsi="SimSun" w:eastAsia="SimSun"/>
                <w:sz w:val="18"/>
              </w:rPr>
              <w:t>报警值≥34℃。</w:t>
            </w:r>
          </w:p>
        </w:tc>
      </w:tr>
      <w:tr w14:paraId="26BE9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FD5EBDB">
            <w:pPr>
              <w:jc w:val="left"/>
            </w:pPr>
            <w:r>
              <w:rPr>
                <w:rFonts w:ascii="SimSun" w:hAnsi="SimSun" w:eastAsia="SimSun" w:cs="SimSun"/>
                <w:b w:val="0"/>
                <w:i w:val="0"/>
                <w:sz w:val="22"/>
              </w:rPr>
              <w:t>压风机</w:t>
            </w:r>
          </w:p>
        </w:tc>
        <w:tc>
          <w:tcPr>
            <w:tcW w:w="3213" w:type="dxa"/>
            <w:tcMar>
              <w:top w:w="100" w:type="dxa"/>
              <w:left w:w="100" w:type="dxa"/>
              <w:bottom w:w="100" w:type="dxa"/>
              <w:right w:w="100" w:type="dxa"/>
            </w:tcMar>
          </w:tcPr>
          <w:p w14:paraId="0E2EA164">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3058072"/>
          <w:p w14:paraId="1B55158C">
            <w:r>
              <w:rPr>
                <w:rFonts w:ascii="SimSun" w:hAnsi="SimSun" w:eastAsia="SimSun"/>
                <w:sz w:val="18"/>
              </w:rPr>
              <w:t>《煤矿防灭火细则》第57条："压风机应当设置温度传感器，温度超限时，自动声光报警，并切断压风机电源。"</w:t>
            </w:r>
          </w:p>
        </w:tc>
      </w:tr>
      <w:tr w14:paraId="48EA5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377040C">
            <w:pPr>
              <w:jc w:val="left"/>
            </w:pPr>
            <w:r>
              <w:rPr>
                <w:rFonts w:ascii="SimSun" w:hAnsi="SimSun" w:eastAsia="SimSun" w:cs="SimSun"/>
                <w:b w:val="0"/>
                <w:i w:val="0"/>
                <w:sz w:val="22"/>
              </w:rPr>
              <w:t>采区回风巷、一翼回风巷、总回风巷</w:t>
            </w:r>
          </w:p>
        </w:tc>
        <w:tc>
          <w:tcPr>
            <w:tcW w:w="3213" w:type="dxa"/>
            <w:tcMar>
              <w:top w:w="100" w:type="dxa"/>
              <w:left w:w="100" w:type="dxa"/>
              <w:bottom w:w="100" w:type="dxa"/>
              <w:right w:w="100" w:type="dxa"/>
            </w:tcMar>
          </w:tcPr>
          <w:p w14:paraId="59046D7A">
            <w:pPr>
              <w:jc w:val="center"/>
            </w:pPr>
            <w:r>
              <w:rPr>
                <w:rFonts w:ascii="SimSun" w:hAnsi="SimSun" w:eastAsia="SimSun" w:cs="SimSun"/>
                <w:b w:val="0"/>
                <w:i w:val="0"/>
                <w:sz w:val="22"/>
              </w:rPr>
              <w:t>🔶 宜装</w:t>
            </w:r>
          </w:p>
        </w:tc>
        <w:tc>
          <w:tcPr>
            <w:tcW w:w="3213" w:type="dxa"/>
            <w:tcMar>
              <w:top w:w="100" w:type="dxa"/>
              <w:left w:w="100" w:type="dxa"/>
              <w:bottom w:w="100" w:type="dxa"/>
              <w:right w:w="100" w:type="dxa"/>
            </w:tcMar>
          </w:tcPr>
          <w:p w14:paraId="1B526536"/>
          <w:p w14:paraId="1CE5205E">
            <w:r>
              <w:rPr>
                <w:rFonts w:ascii="SimSun" w:hAnsi="SimSun" w:eastAsia="SimSun"/>
                <w:sz w:val="18"/>
              </w:rPr>
              <w:t>《煤矿防灭火细则》第53条："采区回风巷、一翼回风巷和总回风巷…宜设置温度传感器。"</w:t>
            </w:r>
          </w:p>
        </w:tc>
      </w:tr>
      <w:tr w14:paraId="53AE4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21B258A5">
            <w:pPr>
              <w:jc w:val="left"/>
            </w:pPr>
            <w:r>
              <w:rPr>
                <w:rFonts w:ascii="SimSun" w:hAnsi="SimSun" w:eastAsia="SimSun" w:cs="SimSun"/>
                <w:b w:val="0"/>
                <w:i w:val="0"/>
                <w:sz w:val="22"/>
              </w:rPr>
              <w:t>带式输送机驱动滚筒</w:t>
            </w:r>
          </w:p>
        </w:tc>
        <w:tc>
          <w:tcPr>
            <w:tcW w:w="3213" w:type="dxa"/>
            <w:tcMar>
              <w:top w:w="100" w:type="dxa"/>
              <w:left w:w="100" w:type="dxa"/>
              <w:bottom w:w="100" w:type="dxa"/>
              <w:right w:w="100" w:type="dxa"/>
            </w:tcMar>
          </w:tcPr>
          <w:p w14:paraId="1E852314">
            <w:pPr>
              <w:jc w:val="center"/>
            </w:pPr>
            <w:r>
              <w:rPr>
                <w:rFonts w:ascii="SimSun" w:hAnsi="SimSun" w:eastAsia="SimSun" w:cs="SimSun"/>
                <w:b w:val="0"/>
                <w:i w:val="0"/>
                <w:sz w:val="22"/>
              </w:rPr>
              <w:t>✅ 必装（温度监测装置）</w:t>
            </w:r>
          </w:p>
        </w:tc>
        <w:tc>
          <w:tcPr>
            <w:tcW w:w="3213" w:type="dxa"/>
            <w:tcMar>
              <w:top w:w="100" w:type="dxa"/>
              <w:left w:w="100" w:type="dxa"/>
              <w:bottom w:w="100" w:type="dxa"/>
              <w:right w:w="100" w:type="dxa"/>
            </w:tcMar>
          </w:tcPr>
          <w:p w14:paraId="2AFE3C28"/>
          <w:p w14:paraId="2F3A469A">
            <w:r>
              <w:rPr>
                <w:rFonts w:ascii="SimSun" w:hAnsi="SimSun" w:eastAsia="SimSun"/>
                <w:sz w:val="18"/>
              </w:rPr>
              <w:t>《煤矿防灭火细则》第55条："带式输送机必须装设…温度监测装置和自动洒水装置。"</w:t>
            </w:r>
          </w:p>
        </w:tc>
      </w:tr>
      <w:tr w14:paraId="4BB50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0AF02A76">
            <w:pPr>
              <w:jc w:val="left"/>
            </w:pPr>
            <w:r>
              <w:rPr>
                <w:rFonts w:ascii="SimSun" w:hAnsi="SimSun" w:eastAsia="SimSun" w:cs="SimSun"/>
                <w:b w:val="0"/>
                <w:i w:val="0"/>
                <w:sz w:val="22"/>
              </w:rPr>
              <w:t>使用防爆柴油动力装置的地点</w:t>
            </w:r>
          </w:p>
        </w:tc>
        <w:tc>
          <w:tcPr>
            <w:tcW w:w="3213" w:type="dxa"/>
            <w:tcMar>
              <w:top w:w="100" w:type="dxa"/>
              <w:left w:w="100" w:type="dxa"/>
              <w:bottom w:w="100" w:type="dxa"/>
              <w:right w:w="100" w:type="dxa"/>
            </w:tcMar>
          </w:tcPr>
          <w:p w14:paraId="1395A9E9">
            <w:pPr>
              <w:jc w:val="center"/>
            </w:pPr>
            <w:r>
              <w:rPr>
                <w:rFonts w:ascii="SimSun" w:hAnsi="SimSun" w:eastAsia="SimSun" w:cs="SimSun"/>
                <w:b w:val="0"/>
                <w:i w:val="0"/>
                <w:sz w:val="22"/>
              </w:rPr>
              <w:t>🔶 建议装</w:t>
            </w:r>
          </w:p>
        </w:tc>
        <w:tc>
          <w:tcPr>
            <w:tcW w:w="3213" w:type="dxa"/>
            <w:tcMar>
              <w:top w:w="100" w:type="dxa"/>
              <w:left w:w="100" w:type="dxa"/>
              <w:bottom w:w="100" w:type="dxa"/>
              <w:right w:w="100" w:type="dxa"/>
            </w:tcMar>
          </w:tcPr>
          <w:p w14:paraId="14F97A21"/>
          <w:p w14:paraId="3D12A765">
            <w:r>
              <w:rPr>
                <w:rFonts w:ascii="SimSun" w:hAnsi="SimSun" w:eastAsia="SimSun"/>
                <w:sz w:val="18"/>
              </w:rPr>
              <w:t>高平市应急管理局通知："使用防爆柴油动力装置的矿井应设置…温度传感器，报警值30℃。"</w:t>
            </w:r>
          </w:p>
        </w:tc>
      </w:tr>
      <w:tr w14:paraId="12B85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68EFCC8">
            <w:pPr>
              <w:jc w:val="left"/>
            </w:pPr>
            <w:r>
              <w:rPr>
                <w:rFonts w:ascii="SimSun" w:hAnsi="SimSun" w:eastAsia="SimSun" w:cs="SimSun"/>
                <w:b w:val="0"/>
                <w:i w:val="0"/>
                <w:sz w:val="22"/>
              </w:rPr>
              <w:t>瓦斯抽采泵站管路</w:t>
            </w:r>
          </w:p>
        </w:tc>
        <w:tc>
          <w:tcPr>
            <w:tcW w:w="3213" w:type="dxa"/>
            <w:tcMar>
              <w:top w:w="100" w:type="dxa"/>
              <w:left w:w="100" w:type="dxa"/>
              <w:bottom w:w="100" w:type="dxa"/>
              <w:right w:w="100" w:type="dxa"/>
            </w:tcMar>
          </w:tcPr>
          <w:p w14:paraId="42284A91">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582D22F6"/>
          <w:p w14:paraId="7BBF33CA">
            <w:r>
              <w:rPr>
                <w:rFonts w:ascii="SimSun" w:hAnsi="SimSun" w:eastAsia="SimSun"/>
                <w:sz w:val="18"/>
              </w:rPr>
              <w:t>山西省应急厅通知："瓦斯抽采泵站输入管路中必须设置…温度传感器。"</w:t>
            </w:r>
          </w:p>
        </w:tc>
      </w:tr>
      <w:tr w14:paraId="6EA100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36EAC23">
            <w:pPr>
              <w:jc w:val="left"/>
            </w:pPr>
            <w:r>
              <w:rPr>
                <w:rFonts w:ascii="SimSun" w:hAnsi="SimSun" w:eastAsia="SimSun" w:cs="SimSun"/>
                <w:b w:val="0"/>
                <w:i w:val="0"/>
                <w:sz w:val="22"/>
              </w:rPr>
              <w:t>永久避难硐室生存室</w:t>
            </w:r>
          </w:p>
        </w:tc>
        <w:tc>
          <w:tcPr>
            <w:tcW w:w="3213" w:type="dxa"/>
            <w:tcMar>
              <w:top w:w="100" w:type="dxa"/>
              <w:left w:w="100" w:type="dxa"/>
              <w:bottom w:w="100" w:type="dxa"/>
              <w:right w:w="100" w:type="dxa"/>
            </w:tcMar>
          </w:tcPr>
          <w:p w14:paraId="4BB18554">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064B2B2"/>
          <w:p w14:paraId="367769D3">
            <w:r>
              <w:rPr>
                <w:rFonts w:ascii="SimSun" w:hAnsi="SimSun" w:eastAsia="SimSun"/>
                <w:sz w:val="18"/>
              </w:rPr>
              <w:t>《煤矿安全规程》："永久避难硐室生存室安装温度传感器。"</w:t>
            </w:r>
          </w:p>
        </w:tc>
      </w:tr>
    </w:tbl>
    <w:p w14:paraId="1AF74A07"/>
    <w:p w14:paraId="75E7C092">
      <w:pPr>
        <w:pStyle w:val="3"/>
      </w:pPr>
      <w:r>
        <w:t>六、烟雾传感器</w:t>
      </w:r>
    </w:p>
    <w:p w14:paraId="7E3141EC">
      <w:pPr>
        <w:spacing w:after="120"/>
        <w:ind w:firstLine="480"/>
      </w:pPr>
      <w:r>
        <w:t>烟雾传感器用于带式输送机外因火灾的早期预警，是胶带运输巷道的标配保护装置。</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47"/>
        <w:gridCol w:w="1317"/>
        <w:gridCol w:w="5874"/>
      </w:tblGrid>
      <w:tr w14:paraId="7BD98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7F1CEF75">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64AC76C1">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1EA9F2BE">
            <w:pPr>
              <w:jc w:val="center"/>
            </w:pPr>
            <w:r>
              <w:rPr>
                <w:rFonts w:ascii="SimSun" w:hAnsi="SimSun" w:eastAsia="SimSun" w:cs="SimSun"/>
                <w:b/>
                <w:i w:val="0"/>
                <w:sz w:val="22"/>
              </w:rPr>
              <w:t>规范条款原文</w:t>
            </w:r>
          </w:p>
        </w:tc>
      </w:tr>
      <w:tr w14:paraId="18DCBD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56FF74C">
            <w:pPr>
              <w:jc w:val="left"/>
            </w:pPr>
            <w:r>
              <w:rPr>
                <w:rFonts w:ascii="SimSun" w:hAnsi="SimSun" w:eastAsia="SimSun" w:cs="SimSun"/>
                <w:b w:val="0"/>
                <w:i w:val="0"/>
                <w:sz w:val="22"/>
              </w:rPr>
              <w:t>带式输送机驱动滚筒下风侧10~15m</w:t>
            </w:r>
          </w:p>
        </w:tc>
        <w:tc>
          <w:tcPr>
            <w:tcW w:w="3213" w:type="dxa"/>
            <w:tcMar>
              <w:top w:w="100" w:type="dxa"/>
              <w:left w:w="100" w:type="dxa"/>
              <w:bottom w:w="100" w:type="dxa"/>
              <w:right w:w="100" w:type="dxa"/>
            </w:tcMar>
          </w:tcPr>
          <w:p w14:paraId="1AD3120C">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49ACC5A"/>
          <w:p w14:paraId="5845C619">
            <w:r>
              <w:rPr>
                <w:rFonts w:ascii="SimSun" w:hAnsi="SimSun" w:eastAsia="SimSun"/>
                <w:sz w:val="18"/>
              </w:rPr>
              <w:t>《煤矿防灭火细则》第55条："带式输送机驱动滚筒下风侧10~15m处应当设置烟雾传感器。"</w:t>
            </w:r>
            <w:r>
              <w:rPr>
                <w:rFonts w:ascii="SimSun" w:hAnsi="SimSun" w:eastAsia="SimSun"/>
                <w:sz w:val="18"/>
              </w:rPr>
              <w:br w:type="textWrapping"/>
            </w:r>
            <w:r>
              <w:rPr>
                <w:rFonts w:ascii="SimSun" w:hAnsi="SimSun" w:eastAsia="SimSun"/>
                <w:sz w:val="18"/>
              </w:rPr>
              <w:t>对于采用卸载滚筒作驱动滚筒的带式输送机，烟雾传感器应安装在滚筒正上方。</w:t>
            </w:r>
          </w:p>
        </w:tc>
      </w:tr>
      <w:tr w14:paraId="34629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2930E6B2">
            <w:pPr>
              <w:jc w:val="left"/>
            </w:pPr>
            <w:r>
              <w:rPr>
                <w:rFonts w:ascii="SimSun" w:hAnsi="SimSun" w:eastAsia="SimSun" w:cs="SimSun"/>
                <w:b w:val="0"/>
                <w:i w:val="0"/>
                <w:sz w:val="22"/>
              </w:rPr>
              <w:t>回风流巷道中的带式输送机机尾</w:t>
            </w:r>
          </w:p>
        </w:tc>
        <w:tc>
          <w:tcPr>
            <w:tcW w:w="3213" w:type="dxa"/>
            <w:tcMar>
              <w:top w:w="100" w:type="dxa"/>
              <w:left w:w="100" w:type="dxa"/>
              <w:bottom w:w="100" w:type="dxa"/>
              <w:right w:w="100" w:type="dxa"/>
            </w:tcMar>
          </w:tcPr>
          <w:p w14:paraId="3A1C748A">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3DAAEA1"/>
          <w:p w14:paraId="75292439">
            <w:r>
              <w:rPr>
                <w:rFonts w:ascii="SimSun" w:hAnsi="SimSun" w:eastAsia="SimSun"/>
                <w:sz w:val="18"/>
              </w:rPr>
              <w:t>AQ1029-2019 第7.1.3条（2007版保留，2019版延伸）：处于回风流巷道中的带式输送机机尾应安装烟雾传感器。</w:t>
            </w:r>
          </w:p>
        </w:tc>
      </w:tr>
      <w:tr w14:paraId="46BD0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FB1DEE6">
            <w:pPr>
              <w:jc w:val="left"/>
            </w:pPr>
            <w:r>
              <w:rPr>
                <w:rFonts w:ascii="SimSun" w:hAnsi="SimSun" w:eastAsia="SimSun" w:cs="SimSun"/>
                <w:b w:val="0"/>
                <w:i w:val="0"/>
                <w:sz w:val="22"/>
              </w:rPr>
              <w:t>兼做回风井的带式输送机井筒</w:t>
            </w:r>
          </w:p>
        </w:tc>
        <w:tc>
          <w:tcPr>
            <w:tcW w:w="3213" w:type="dxa"/>
            <w:tcMar>
              <w:top w:w="100" w:type="dxa"/>
              <w:left w:w="100" w:type="dxa"/>
              <w:bottom w:w="100" w:type="dxa"/>
              <w:right w:w="100" w:type="dxa"/>
            </w:tcMar>
          </w:tcPr>
          <w:p w14:paraId="3AE4F033">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6327AF5"/>
          <w:p w14:paraId="6C2B89F3">
            <w:r>
              <w:rPr>
                <w:rFonts w:ascii="SimSun" w:hAnsi="SimSun" w:eastAsia="SimSun"/>
                <w:sz w:val="18"/>
              </w:rPr>
              <w:t>《煤矿安全规程》："装有带式输送机的井筒兼作进风井时，井筒中必须装设自动报警与自动灭火装置。"</w:t>
            </w:r>
          </w:p>
        </w:tc>
      </w:tr>
    </w:tbl>
    <w:p w14:paraId="7252C998"/>
    <w:p w14:paraId="00B95EED">
      <w:pPr>
        <w:pStyle w:val="3"/>
      </w:pPr>
      <w:r>
        <w:t>七、粉尘浓度传感器</w:t>
      </w:r>
    </w:p>
    <w:p w14:paraId="4708B1D7">
      <w:pPr>
        <w:spacing w:after="120"/>
        <w:ind w:firstLine="480"/>
      </w:pPr>
      <w:r>
        <w:t>粉尘传感器用于监测作业场所粉尘浓度，保障职业健康及防爆安全。</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93"/>
        <w:gridCol w:w="1346"/>
        <w:gridCol w:w="6099"/>
      </w:tblGrid>
      <w:tr w14:paraId="73D4D2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56D7BFC4">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368B6D9A">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26591DE2">
            <w:pPr>
              <w:jc w:val="center"/>
            </w:pPr>
            <w:r>
              <w:rPr>
                <w:rFonts w:ascii="SimSun" w:hAnsi="SimSun" w:eastAsia="SimSun" w:cs="SimSun"/>
                <w:b/>
                <w:i w:val="0"/>
                <w:sz w:val="22"/>
              </w:rPr>
              <w:t>规范条款原文</w:t>
            </w:r>
          </w:p>
        </w:tc>
      </w:tr>
      <w:tr w14:paraId="495B2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AA660FE">
            <w:pPr>
              <w:jc w:val="left"/>
            </w:pPr>
            <w:r>
              <w:rPr>
                <w:rFonts w:ascii="SimSun" w:hAnsi="SimSun" w:eastAsia="SimSun" w:cs="SimSun"/>
                <w:b w:val="0"/>
                <w:i w:val="0"/>
                <w:sz w:val="22"/>
              </w:rPr>
              <w:t>采煤工作面</w:t>
            </w:r>
          </w:p>
        </w:tc>
        <w:tc>
          <w:tcPr>
            <w:tcW w:w="3213" w:type="dxa"/>
            <w:tcMar>
              <w:top w:w="100" w:type="dxa"/>
              <w:left w:w="100" w:type="dxa"/>
              <w:bottom w:w="100" w:type="dxa"/>
              <w:right w:w="100" w:type="dxa"/>
            </w:tcMar>
          </w:tcPr>
          <w:p w14:paraId="38726B0A">
            <w:pPr>
              <w:jc w:val="center"/>
            </w:pPr>
            <w:r>
              <w:rPr>
                <w:rFonts w:ascii="SimSun" w:hAnsi="SimSun" w:eastAsia="SimSun" w:cs="SimSun"/>
                <w:b w:val="0"/>
                <w:i w:val="0"/>
                <w:sz w:val="22"/>
              </w:rPr>
              <w:t>🔶 建议装</w:t>
            </w:r>
          </w:p>
        </w:tc>
        <w:tc>
          <w:tcPr>
            <w:tcW w:w="3213" w:type="dxa"/>
            <w:tcMar>
              <w:top w:w="100" w:type="dxa"/>
              <w:left w:w="100" w:type="dxa"/>
              <w:bottom w:w="100" w:type="dxa"/>
              <w:right w:w="100" w:type="dxa"/>
            </w:tcMar>
          </w:tcPr>
          <w:p w14:paraId="1F1DBF95"/>
          <w:p w14:paraId="2D3B888A">
            <w:r>
              <w:rPr>
                <w:rFonts w:ascii="SimSun" w:hAnsi="SimSun" w:eastAsia="SimSun"/>
                <w:sz w:val="18"/>
              </w:rPr>
              <w:t>AQ1029-2019 第7.11条（新增）："煤矿粉尘传感器的设置…采掘工作面应设置粉尘传感器。"</w:t>
            </w:r>
            <w:r>
              <w:rPr>
                <w:rFonts w:ascii="SimSun" w:hAnsi="SimSun" w:eastAsia="SimSun"/>
                <w:sz w:val="18"/>
              </w:rPr>
              <w:br w:type="textWrapping"/>
            </w:r>
            <w:r>
              <w:rPr>
                <w:rFonts w:ascii="SimSun" w:hAnsi="SimSun" w:eastAsia="SimSun"/>
                <w:sz w:val="18"/>
              </w:rPr>
              <w:t>GB50581-2020：采掘面及主要转载点应配备粉尘监测设备。</w:t>
            </w:r>
          </w:p>
        </w:tc>
      </w:tr>
      <w:tr w14:paraId="67DDF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70AECFDD">
            <w:pPr>
              <w:jc w:val="left"/>
            </w:pPr>
            <w:r>
              <w:rPr>
                <w:rFonts w:ascii="SimSun" w:hAnsi="SimSun" w:eastAsia="SimSun" w:cs="SimSun"/>
                <w:b w:val="0"/>
                <w:i w:val="0"/>
                <w:sz w:val="22"/>
              </w:rPr>
              <w:t>掘进工作面</w:t>
            </w:r>
          </w:p>
        </w:tc>
        <w:tc>
          <w:tcPr>
            <w:tcW w:w="3213" w:type="dxa"/>
            <w:tcMar>
              <w:top w:w="100" w:type="dxa"/>
              <w:left w:w="100" w:type="dxa"/>
              <w:bottom w:w="100" w:type="dxa"/>
              <w:right w:w="100" w:type="dxa"/>
            </w:tcMar>
          </w:tcPr>
          <w:p w14:paraId="069B41B6">
            <w:pPr>
              <w:jc w:val="center"/>
            </w:pPr>
            <w:r>
              <w:rPr>
                <w:rFonts w:ascii="SimSun" w:hAnsi="SimSun" w:eastAsia="SimSun" w:cs="SimSun"/>
                <w:b w:val="0"/>
                <w:i w:val="0"/>
                <w:sz w:val="22"/>
              </w:rPr>
              <w:t>🔶 建议装</w:t>
            </w:r>
          </w:p>
        </w:tc>
        <w:tc>
          <w:tcPr>
            <w:tcW w:w="3213" w:type="dxa"/>
            <w:tcMar>
              <w:top w:w="100" w:type="dxa"/>
              <w:left w:w="100" w:type="dxa"/>
              <w:bottom w:w="100" w:type="dxa"/>
              <w:right w:w="100" w:type="dxa"/>
            </w:tcMar>
          </w:tcPr>
          <w:p w14:paraId="538063EC"/>
          <w:p w14:paraId="755E2901">
            <w:r>
              <w:rPr>
                <w:rFonts w:ascii="SimSun" w:hAnsi="SimSun" w:eastAsia="SimSun"/>
                <w:sz w:val="18"/>
              </w:rPr>
              <w:t>AQ1029-2019 第7.11条（同上）</w:t>
            </w:r>
          </w:p>
        </w:tc>
      </w:tr>
      <w:tr w14:paraId="1060BB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A42BE97">
            <w:pPr>
              <w:jc w:val="left"/>
            </w:pPr>
            <w:r>
              <w:rPr>
                <w:rFonts w:ascii="SimSun" w:hAnsi="SimSun" w:eastAsia="SimSun" w:cs="SimSun"/>
                <w:b w:val="0"/>
                <w:i w:val="0"/>
                <w:sz w:val="22"/>
              </w:rPr>
              <w:t>主要转载点</w:t>
            </w:r>
          </w:p>
        </w:tc>
        <w:tc>
          <w:tcPr>
            <w:tcW w:w="3213" w:type="dxa"/>
            <w:tcMar>
              <w:top w:w="100" w:type="dxa"/>
              <w:left w:w="100" w:type="dxa"/>
              <w:bottom w:w="100" w:type="dxa"/>
              <w:right w:w="100" w:type="dxa"/>
            </w:tcMar>
          </w:tcPr>
          <w:p w14:paraId="0DA8AB27">
            <w:pPr>
              <w:jc w:val="center"/>
            </w:pPr>
            <w:r>
              <w:rPr>
                <w:rFonts w:ascii="SimSun" w:hAnsi="SimSun" w:eastAsia="SimSun" w:cs="SimSun"/>
                <w:b w:val="0"/>
                <w:i w:val="0"/>
                <w:sz w:val="22"/>
              </w:rPr>
              <w:t>🔶 建议装</w:t>
            </w:r>
          </w:p>
        </w:tc>
        <w:tc>
          <w:tcPr>
            <w:tcW w:w="3213" w:type="dxa"/>
            <w:tcMar>
              <w:top w:w="100" w:type="dxa"/>
              <w:left w:w="100" w:type="dxa"/>
              <w:bottom w:w="100" w:type="dxa"/>
              <w:right w:w="100" w:type="dxa"/>
            </w:tcMar>
          </w:tcPr>
          <w:p w14:paraId="7240771C"/>
          <w:p w14:paraId="39055A72">
            <w:r>
              <w:rPr>
                <w:rFonts w:ascii="SimSun" w:hAnsi="SimSun" w:eastAsia="SimSun"/>
                <w:sz w:val="18"/>
              </w:rPr>
              <w:t>GB50581-2020："采掘工作面及主要转载点的监测需要。"</w:t>
            </w:r>
          </w:p>
        </w:tc>
      </w:tr>
    </w:tbl>
    <w:p w14:paraId="7F356FAA"/>
    <w:p w14:paraId="6DD4EC79">
      <w:pPr>
        <w:pStyle w:val="3"/>
      </w:pPr>
      <w:r>
        <w:t>八、水位传感器</w:t>
      </w:r>
    </w:p>
    <w:p w14:paraId="64D0CFB0">
      <w:pPr>
        <w:spacing w:after="120"/>
        <w:ind w:firstLine="480"/>
      </w:pPr>
      <w:r>
        <w:t>水位传感器属于排水系统自动化控制范畴，用于监测水仓水位并联动水泵启停。</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55"/>
        <w:gridCol w:w="1485"/>
        <w:gridCol w:w="5998"/>
      </w:tblGrid>
      <w:tr w14:paraId="6A391D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51F4626E">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06A5A609">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16159743">
            <w:pPr>
              <w:jc w:val="center"/>
            </w:pPr>
            <w:r>
              <w:rPr>
                <w:rFonts w:ascii="SimSun" w:hAnsi="SimSun" w:eastAsia="SimSun" w:cs="SimSun"/>
                <w:b/>
                <w:i w:val="0"/>
                <w:sz w:val="22"/>
              </w:rPr>
              <w:t>规范条款原文</w:t>
            </w:r>
          </w:p>
        </w:tc>
      </w:tr>
      <w:tr w14:paraId="379918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1ACCBD4">
            <w:pPr>
              <w:jc w:val="left"/>
            </w:pPr>
            <w:r>
              <w:rPr>
                <w:rFonts w:ascii="SimSun" w:hAnsi="SimSun" w:eastAsia="SimSun" w:cs="SimSun"/>
                <w:b w:val="0"/>
                <w:i w:val="0"/>
                <w:sz w:val="22"/>
              </w:rPr>
              <w:t>主要水仓</w:t>
            </w:r>
          </w:p>
        </w:tc>
        <w:tc>
          <w:tcPr>
            <w:tcW w:w="3213" w:type="dxa"/>
            <w:tcMar>
              <w:top w:w="100" w:type="dxa"/>
              <w:left w:w="100" w:type="dxa"/>
              <w:bottom w:w="100" w:type="dxa"/>
              <w:right w:w="100" w:type="dxa"/>
            </w:tcMar>
          </w:tcPr>
          <w:p w14:paraId="0989AE08">
            <w:pPr>
              <w:jc w:val="center"/>
            </w:pPr>
            <w:r>
              <w:rPr>
                <w:rFonts w:ascii="SimSun" w:hAnsi="SimSun" w:eastAsia="SimSun" w:cs="SimSun"/>
                <w:b w:val="0"/>
                <w:i w:val="0"/>
                <w:sz w:val="22"/>
              </w:rPr>
              <w:t>🔶 建议装（排水自动化系统）</w:t>
            </w:r>
          </w:p>
        </w:tc>
        <w:tc>
          <w:tcPr>
            <w:tcW w:w="3213" w:type="dxa"/>
            <w:tcMar>
              <w:top w:w="100" w:type="dxa"/>
              <w:left w:w="100" w:type="dxa"/>
              <w:bottom w:w="100" w:type="dxa"/>
              <w:right w:w="100" w:type="dxa"/>
            </w:tcMar>
          </w:tcPr>
          <w:p w14:paraId="2AAB1037"/>
          <w:p w14:paraId="3B05EAB7">
            <w:r>
              <w:rPr>
                <w:rFonts w:ascii="SimSun" w:hAnsi="SimSun" w:eastAsia="SimSun"/>
                <w:sz w:val="18"/>
              </w:rPr>
              <w:t>MT/T825-1999《矿用水位传感器通用技术条件》：适用于煤矿井下水仓水位测量。</w:t>
            </w:r>
            <w:r>
              <w:rPr>
                <w:rFonts w:ascii="SimSun" w:hAnsi="SimSun" w:eastAsia="SimSun"/>
                <w:sz w:val="18"/>
              </w:rPr>
              <w:br w:type="textWrapping"/>
            </w:r>
            <w:r>
              <w:rPr>
                <w:rFonts w:ascii="SimSun" w:hAnsi="SimSun" w:eastAsia="SimSun"/>
                <w:sz w:val="18"/>
              </w:rPr>
              <w:t>说明：水位传感器不属于AQ1029-2019安全监控系统强制配置类别，归入排水自动化控制子系统。如果矿井将其接入安全监控系统统一管理，则由企业自行规定。</w:t>
            </w:r>
          </w:p>
        </w:tc>
      </w:tr>
      <w:tr w14:paraId="544C16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592A093F">
            <w:pPr>
              <w:jc w:val="left"/>
            </w:pPr>
            <w:r>
              <w:rPr>
                <w:rFonts w:ascii="SimSun" w:hAnsi="SimSun" w:eastAsia="SimSun" w:cs="SimSun"/>
                <w:b w:val="0"/>
                <w:i w:val="0"/>
                <w:sz w:val="22"/>
              </w:rPr>
              <w:t>临时水仓</w:t>
            </w:r>
          </w:p>
        </w:tc>
        <w:tc>
          <w:tcPr>
            <w:tcW w:w="3213" w:type="dxa"/>
            <w:tcMar>
              <w:top w:w="100" w:type="dxa"/>
              <w:left w:w="100" w:type="dxa"/>
              <w:bottom w:w="100" w:type="dxa"/>
              <w:right w:w="100" w:type="dxa"/>
            </w:tcMar>
          </w:tcPr>
          <w:p w14:paraId="6E1545E6">
            <w:pPr>
              <w:jc w:val="center"/>
            </w:pPr>
            <w:r>
              <w:rPr>
                <w:rFonts w:ascii="SimSun" w:hAnsi="SimSun" w:eastAsia="SimSun" w:cs="SimSun"/>
                <w:b w:val="0"/>
                <w:i w:val="0"/>
                <w:sz w:val="22"/>
              </w:rPr>
              <w:t>🔶 视自动化程度定</w:t>
            </w:r>
          </w:p>
        </w:tc>
        <w:tc>
          <w:tcPr>
            <w:tcW w:w="3213" w:type="dxa"/>
            <w:tcMar>
              <w:top w:w="100" w:type="dxa"/>
              <w:left w:w="100" w:type="dxa"/>
              <w:bottom w:w="100" w:type="dxa"/>
              <w:right w:w="100" w:type="dxa"/>
            </w:tcMar>
          </w:tcPr>
          <w:p w14:paraId="381F8D38"/>
          <w:p w14:paraId="207A2225">
            <w:r>
              <w:rPr>
                <w:rFonts w:ascii="SimSun" w:hAnsi="SimSun" w:eastAsia="SimSun"/>
                <w:sz w:val="18"/>
              </w:rPr>
              <w:t>无AQ1029强制要求。如需实现自动排水，可参照主要水仓配置水位传感器。</w:t>
            </w:r>
          </w:p>
        </w:tc>
      </w:tr>
    </w:tbl>
    <w:p w14:paraId="69940FD4"/>
    <w:p w14:paraId="066FB26B">
      <w:pPr>
        <w:pStyle w:val="3"/>
      </w:pPr>
      <w:r>
        <w:t>九、风门开关传感器</w:t>
      </w:r>
    </w:p>
    <w:p w14:paraId="0F223268">
      <w:pPr>
        <w:spacing w:after="120"/>
        <w:ind w:firstLine="480"/>
      </w:pPr>
      <w:r>
        <w:t>风门开关传感器用于监控主要风门状态，防止两道风门同时打开造成风流短路。</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1353"/>
        <w:gridCol w:w="6076"/>
      </w:tblGrid>
      <w:tr w14:paraId="296F04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59175247">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63029F5A">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7C540137">
            <w:pPr>
              <w:jc w:val="center"/>
            </w:pPr>
            <w:r>
              <w:rPr>
                <w:rFonts w:ascii="SimSun" w:hAnsi="SimSun" w:eastAsia="SimSun" w:cs="SimSun"/>
                <w:b/>
                <w:i w:val="0"/>
                <w:sz w:val="22"/>
              </w:rPr>
              <w:t>规范条款原文</w:t>
            </w:r>
          </w:p>
        </w:tc>
      </w:tr>
      <w:tr w14:paraId="20FA41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B13055A">
            <w:pPr>
              <w:jc w:val="left"/>
            </w:pPr>
            <w:r>
              <w:rPr>
                <w:rFonts w:ascii="SimSun" w:hAnsi="SimSun" w:eastAsia="SimSun" w:cs="SimSun"/>
                <w:b w:val="0"/>
                <w:i w:val="0"/>
                <w:sz w:val="22"/>
              </w:rPr>
              <w:t>矿井主要进回风巷之间的风门</w:t>
            </w:r>
          </w:p>
        </w:tc>
        <w:tc>
          <w:tcPr>
            <w:tcW w:w="3213" w:type="dxa"/>
            <w:tcMar>
              <w:top w:w="100" w:type="dxa"/>
              <w:left w:w="100" w:type="dxa"/>
              <w:bottom w:w="100" w:type="dxa"/>
              <w:right w:w="100" w:type="dxa"/>
            </w:tcMar>
          </w:tcPr>
          <w:p w14:paraId="6700DCF7">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1950FC8E"/>
          <w:p w14:paraId="4E8357C6">
            <w:r>
              <w:rPr>
                <w:rFonts w:ascii="SimSun" w:hAnsi="SimSun" w:eastAsia="SimSun"/>
                <w:sz w:val="18"/>
              </w:rPr>
              <w:t>AQ1029-2019 第7.10条："矿井和采区主要进回风巷道中的主要风门应设置风门开关传感器，当两道风门同时打开时，发出声光报警信号。"</w:t>
            </w:r>
            <w:r>
              <w:rPr>
                <w:rFonts w:ascii="SimSun" w:hAnsi="SimSun" w:eastAsia="SimSun"/>
                <w:sz w:val="18"/>
              </w:rPr>
              <w:br w:type="textWrapping"/>
            </w:r>
            <w:r>
              <w:rPr>
                <w:rFonts w:ascii="SimSun" w:hAnsi="SimSun" w:eastAsia="SimSun"/>
                <w:sz w:val="18"/>
              </w:rPr>
              <w:t>《煤矿安全规程》第503条："主要风门应当设置风门开关传感器，当两道风门同时打开时，发出声光报警信号。"</w:t>
            </w:r>
          </w:p>
        </w:tc>
      </w:tr>
      <w:tr w14:paraId="1AA42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9C398CE">
            <w:pPr>
              <w:jc w:val="left"/>
            </w:pPr>
            <w:r>
              <w:rPr>
                <w:rFonts w:ascii="SimSun" w:hAnsi="SimSun" w:eastAsia="SimSun" w:cs="SimSun"/>
                <w:b w:val="0"/>
                <w:i w:val="0"/>
                <w:sz w:val="22"/>
              </w:rPr>
              <w:t>采区进回风巷之间的风门</w:t>
            </w:r>
          </w:p>
        </w:tc>
        <w:tc>
          <w:tcPr>
            <w:tcW w:w="3213" w:type="dxa"/>
            <w:tcMar>
              <w:top w:w="100" w:type="dxa"/>
              <w:left w:w="100" w:type="dxa"/>
              <w:bottom w:w="100" w:type="dxa"/>
              <w:right w:w="100" w:type="dxa"/>
            </w:tcMar>
          </w:tcPr>
          <w:p w14:paraId="4973C432">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D1CC334"/>
          <w:p w14:paraId="68E11517">
            <w:r>
              <w:rPr>
                <w:rFonts w:ascii="SimSun" w:hAnsi="SimSun" w:eastAsia="SimSun"/>
                <w:sz w:val="18"/>
              </w:rPr>
              <w:t>AQ1029-2019 第7.10条（属于主要风门范畴）</w:t>
            </w:r>
          </w:p>
        </w:tc>
      </w:tr>
      <w:tr w14:paraId="748F89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E06C126">
            <w:pPr>
              <w:jc w:val="left"/>
            </w:pPr>
            <w:r>
              <w:rPr>
                <w:rFonts w:ascii="SimSun" w:hAnsi="SimSun" w:eastAsia="SimSun" w:cs="SimSun"/>
                <w:b w:val="0"/>
                <w:i w:val="0"/>
                <w:sz w:val="22"/>
              </w:rPr>
              <w:t>普通联络巷风门/采掘工作面风门</w:t>
            </w:r>
          </w:p>
        </w:tc>
        <w:tc>
          <w:tcPr>
            <w:tcW w:w="3213" w:type="dxa"/>
            <w:tcMar>
              <w:top w:w="100" w:type="dxa"/>
              <w:left w:w="100" w:type="dxa"/>
              <w:bottom w:w="100" w:type="dxa"/>
              <w:right w:w="100" w:type="dxa"/>
            </w:tcMar>
          </w:tcPr>
          <w:p w14:paraId="38394483">
            <w:pPr>
              <w:jc w:val="center"/>
            </w:pPr>
            <w:r>
              <w:rPr>
                <w:rFonts w:ascii="SimSun" w:hAnsi="SimSun" w:eastAsia="SimSun" w:cs="SimSun"/>
                <w:b w:val="0"/>
                <w:i w:val="0"/>
                <w:sz w:val="22"/>
              </w:rPr>
              <w:t>❌ 不强制</w:t>
            </w:r>
          </w:p>
        </w:tc>
        <w:tc>
          <w:tcPr>
            <w:tcW w:w="3213" w:type="dxa"/>
            <w:tcMar>
              <w:top w:w="100" w:type="dxa"/>
              <w:left w:w="100" w:type="dxa"/>
              <w:bottom w:w="100" w:type="dxa"/>
              <w:right w:w="100" w:type="dxa"/>
            </w:tcMar>
          </w:tcPr>
          <w:p w14:paraId="01220616"/>
          <w:p w14:paraId="3C367827">
            <w:r>
              <w:rPr>
                <w:rFonts w:ascii="SimSun" w:hAnsi="SimSun" w:eastAsia="SimSun"/>
                <w:sz w:val="18"/>
              </w:rPr>
              <w:t>国家矿山安全监察局河南局信箱回复："主要风门"指控制矿井、采区主要进回风系统的风门，采掘工作面风门不属于"主要风门"范畴。</w:t>
            </w:r>
          </w:p>
        </w:tc>
      </w:tr>
    </w:tbl>
    <w:p w14:paraId="21AB2DBF"/>
    <w:p w14:paraId="3297C533">
      <w:pPr>
        <w:pStyle w:val="3"/>
      </w:pPr>
      <w:r>
        <w:t>十、风筒传感器</w:t>
      </w:r>
    </w:p>
    <w:p w14:paraId="082EB4B5">
      <w:pPr>
        <w:spacing w:after="120"/>
        <w:ind w:firstLine="480"/>
      </w:pPr>
      <w:r>
        <w:t>风筒传感器用于监测局部通风机供风风筒状态，确保掘进工作面正常供风。</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1353"/>
        <w:gridCol w:w="6076"/>
      </w:tblGrid>
      <w:tr w14:paraId="4DD6C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3F87ABFD">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6132C441">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2311EF86">
            <w:pPr>
              <w:jc w:val="center"/>
            </w:pPr>
            <w:r>
              <w:rPr>
                <w:rFonts w:ascii="SimSun" w:hAnsi="SimSun" w:eastAsia="SimSun" w:cs="SimSun"/>
                <w:b/>
                <w:i w:val="0"/>
                <w:sz w:val="22"/>
              </w:rPr>
              <w:t>规范条款原文</w:t>
            </w:r>
          </w:p>
        </w:tc>
      </w:tr>
      <w:tr w14:paraId="2D325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1550A447">
            <w:pPr>
              <w:jc w:val="left"/>
            </w:pPr>
            <w:r>
              <w:rPr>
                <w:rFonts w:ascii="SimSun" w:hAnsi="SimSun" w:eastAsia="SimSun" w:cs="SimSun"/>
                <w:b w:val="0"/>
                <w:i w:val="0"/>
                <w:sz w:val="22"/>
              </w:rPr>
              <w:t>局部通风机风筒末端</w:t>
            </w:r>
          </w:p>
        </w:tc>
        <w:tc>
          <w:tcPr>
            <w:tcW w:w="3213" w:type="dxa"/>
            <w:tcMar>
              <w:top w:w="100" w:type="dxa"/>
              <w:left w:w="100" w:type="dxa"/>
              <w:bottom w:w="100" w:type="dxa"/>
              <w:right w:w="100" w:type="dxa"/>
            </w:tcMar>
          </w:tcPr>
          <w:p w14:paraId="763A071D">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B3348F9"/>
          <w:p w14:paraId="19F5D6D6">
            <w:r>
              <w:rPr>
                <w:rFonts w:ascii="SimSun" w:hAnsi="SimSun" w:eastAsia="SimSun"/>
                <w:sz w:val="18"/>
              </w:rPr>
              <w:t>AQ1029-2019 第7.8条："局部通风机风筒末端应设置风筒传感器。"</w:t>
            </w:r>
            <w:r>
              <w:rPr>
                <w:rFonts w:ascii="SimSun" w:hAnsi="SimSun" w:eastAsia="SimSun"/>
                <w:sz w:val="18"/>
              </w:rPr>
              <w:br w:type="textWrapping"/>
            </w:r>
            <w:r>
              <w:rPr>
                <w:rFonts w:ascii="SimSun" w:hAnsi="SimSun" w:eastAsia="SimSun"/>
                <w:sz w:val="18"/>
              </w:rPr>
              <w:t>机掘工作面风筒传感器设置在风筒末端20m范围内；炮掘工作面设置在风筒末端50m范围内。</w:t>
            </w:r>
          </w:p>
        </w:tc>
      </w:tr>
    </w:tbl>
    <w:p w14:paraId="1F9D3C0D"/>
    <w:p w14:paraId="345109C7">
      <w:pPr>
        <w:pStyle w:val="3"/>
      </w:pPr>
      <w:r>
        <w:t>十一、设备开停传感器</w:t>
      </w:r>
    </w:p>
    <w:p w14:paraId="20DD999F">
      <w:pPr>
        <w:spacing w:after="120"/>
        <w:ind w:firstLine="480"/>
      </w:pPr>
      <w:r>
        <w:t>设备开停传感器用于监测主要通风机和局部通风机的运行状态。</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1353"/>
        <w:gridCol w:w="6076"/>
      </w:tblGrid>
      <w:tr w14:paraId="7BA2A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0C1E9248">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58C2C0E8">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63D4A9BE">
            <w:pPr>
              <w:jc w:val="center"/>
            </w:pPr>
            <w:r>
              <w:rPr>
                <w:rFonts w:ascii="SimSun" w:hAnsi="SimSun" w:eastAsia="SimSun" w:cs="SimSun"/>
                <w:b/>
                <w:i w:val="0"/>
                <w:sz w:val="22"/>
              </w:rPr>
              <w:t>规范条款原文</w:t>
            </w:r>
          </w:p>
        </w:tc>
      </w:tr>
      <w:tr w14:paraId="508EA3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84C45AC">
            <w:pPr>
              <w:jc w:val="left"/>
            </w:pPr>
            <w:r>
              <w:rPr>
                <w:rFonts w:ascii="SimSun" w:hAnsi="SimSun" w:eastAsia="SimSun" w:cs="SimSun"/>
                <w:b w:val="0"/>
                <w:i w:val="0"/>
                <w:sz w:val="22"/>
              </w:rPr>
              <w:t>主要通风机</w:t>
            </w:r>
          </w:p>
        </w:tc>
        <w:tc>
          <w:tcPr>
            <w:tcW w:w="3213" w:type="dxa"/>
            <w:tcMar>
              <w:top w:w="100" w:type="dxa"/>
              <w:left w:w="100" w:type="dxa"/>
              <w:bottom w:w="100" w:type="dxa"/>
              <w:right w:w="100" w:type="dxa"/>
            </w:tcMar>
          </w:tcPr>
          <w:p w14:paraId="121F645D">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7101B969"/>
          <w:p w14:paraId="1FD090BE">
            <w:r>
              <w:rPr>
                <w:rFonts w:ascii="SimSun" w:hAnsi="SimSun" w:eastAsia="SimSun"/>
                <w:sz w:val="18"/>
              </w:rPr>
              <w:t>AQ1029-2019 第7.7条："主要通风机、局部通风机应分台、分级安装开停传感器。"</w:t>
            </w:r>
          </w:p>
        </w:tc>
      </w:tr>
      <w:tr w14:paraId="18A026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843D994">
            <w:pPr>
              <w:jc w:val="left"/>
            </w:pPr>
            <w:r>
              <w:rPr>
                <w:rFonts w:ascii="SimSun" w:hAnsi="SimSun" w:eastAsia="SimSun" w:cs="SimSun"/>
                <w:b w:val="0"/>
                <w:i w:val="0"/>
                <w:sz w:val="22"/>
              </w:rPr>
              <w:t>局部通风机</w:t>
            </w:r>
          </w:p>
        </w:tc>
        <w:tc>
          <w:tcPr>
            <w:tcW w:w="3213" w:type="dxa"/>
            <w:tcMar>
              <w:top w:w="100" w:type="dxa"/>
              <w:left w:w="100" w:type="dxa"/>
              <w:bottom w:w="100" w:type="dxa"/>
              <w:right w:w="100" w:type="dxa"/>
            </w:tcMar>
          </w:tcPr>
          <w:p w14:paraId="30E0AC89">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45F24C7F"/>
          <w:p w14:paraId="57C9107A">
            <w:r>
              <w:rPr>
                <w:rFonts w:ascii="SimSun" w:hAnsi="SimSun" w:eastAsia="SimSun"/>
                <w:sz w:val="18"/>
              </w:rPr>
              <w:t>AQ1029-2019 第7.7条（同上）</w:t>
            </w:r>
          </w:p>
        </w:tc>
      </w:tr>
    </w:tbl>
    <w:p w14:paraId="303FF662"/>
    <w:p w14:paraId="55E7EDD2">
      <w:pPr>
        <w:pStyle w:val="3"/>
      </w:pPr>
      <w:r>
        <w:t>十二、馈电传感器</w:t>
      </w:r>
    </w:p>
    <w:p w14:paraId="232336A8">
      <w:pPr>
        <w:spacing w:after="120"/>
        <w:ind w:firstLine="480"/>
      </w:pPr>
      <w:r>
        <w:t>馈电传感器用于监测被控设备是否已断电，是断电控制的反馈确认。</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09"/>
        <w:gridCol w:w="1353"/>
        <w:gridCol w:w="6076"/>
      </w:tblGrid>
      <w:tr w14:paraId="180C3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6F62001C">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06B5E41E">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27A299FC">
            <w:pPr>
              <w:jc w:val="center"/>
            </w:pPr>
            <w:r>
              <w:rPr>
                <w:rFonts w:ascii="SimSun" w:hAnsi="SimSun" w:eastAsia="SimSun" w:cs="SimSun"/>
                <w:b/>
                <w:i w:val="0"/>
                <w:sz w:val="22"/>
              </w:rPr>
              <w:t>规范条款原文</w:t>
            </w:r>
          </w:p>
        </w:tc>
      </w:tr>
      <w:tr w14:paraId="17108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BB1F637">
            <w:pPr>
              <w:jc w:val="left"/>
            </w:pPr>
            <w:r>
              <w:rPr>
                <w:rFonts w:ascii="SimSun" w:hAnsi="SimSun" w:eastAsia="SimSun" w:cs="SimSun"/>
                <w:b w:val="0"/>
                <w:i w:val="0"/>
                <w:sz w:val="22"/>
              </w:rPr>
              <w:t>被控开关的供电侧</w:t>
            </w:r>
          </w:p>
        </w:tc>
        <w:tc>
          <w:tcPr>
            <w:tcW w:w="3213" w:type="dxa"/>
            <w:tcMar>
              <w:top w:w="100" w:type="dxa"/>
              <w:left w:w="100" w:type="dxa"/>
              <w:bottom w:w="100" w:type="dxa"/>
              <w:right w:w="100" w:type="dxa"/>
            </w:tcMar>
          </w:tcPr>
          <w:p w14:paraId="71400B91">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482C2B3"/>
          <w:p w14:paraId="3EAF47C2">
            <w:r>
              <w:rPr>
                <w:rFonts w:ascii="SimSun" w:hAnsi="SimSun" w:eastAsia="SimSun"/>
                <w:sz w:val="18"/>
              </w:rPr>
              <w:t>AQ1029-2019 第7.12条（新增）："应设置馈电传感器，监测被控设备的供电状态。"</w:t>
            </w:r>
          </w:p>
        </w:tc>
      </w:tr>
    </w:tbl>
    <w:p w14:paraId="4C54CBA0"/>
    <w:p w14:paraId="0DDFC57D">
      <w:pPr>
        <w:pStyle w:val="3"/>
      </w:pPr>
      <w:r>
        <w:t>十三、氧气传感器及二氧化碳传感器</w:t>
      </w:r>
    </w:p>
    <w:p w14:paraId="202F3BB0">
      <w:pPr>
        <w:spacing w:after="120"/>
        <w:ind w:firstLine="480"/>
      </w:pPr>
      <w:r>
        <w:t>主要用于避难硐室等特殊场所的空气环境监测。</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1"/>
        <w:gridCol w:w="1319"/>
        <w:gridCol w:w="5818"/>
      </w:tblGrid>
      <w:tr w14:paraId="42FF2B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7200" w:type="dxa"/>
            <w:shd w:val="clear" w:color="auto" w:fill="D5E8F0"/>
            <w:tcMar>
              <w:top w:w="100" w:type="dxa"/>
              <w:left w:w="100" w:type="dxa"/>
              <w:bottom w:w="100" w:type="dxa"/>
              <w:right w:w="100" w:type="dxa"/>
            </w:tcMar>
          </w:tcPr>
          <w:p w14:paraId="7CF43E3B">
            <w:pPr>
              <w:jc w:val="center"/>
            </w:pPr>
            <w:r>
              <w:rPr>
                <w:rFonts w:ascii="SimSun" w:hAnsi="SimSun" w:eastAsia="SimSun" w:cs="SimSun"/>
                <w:b/>
                <w:i w:val="0"/>
                <w:sz w:val="22"/>
              </w:rPr>
              <w:t>安设位置</w:t>
            </w:r>
          </w:p>
        </w:tc>
        <w:tc>
          <w:tcPr>
            <w:tcW w:w="3600" w:type="dxa"/>
            <w:shd w:val="clear" w:color="auto" w:fill="D5E8F0"/>
            <w:tcMar>
              <w:top w:w="100" w:type="dxa"/>
              <w:left w:w="100" w:type="dxa"/>
              <w:bottom w:w="100" w:type="dxa"/>
              <w:right w:w="100" w:type="dxa"/>
            </w:tcMar>
          </w:tcPr>
          <w:p w14:paraId="3C2EBA93">
            <w:pPr>
              <w:jc w:val="center"/>
            </w:pPr>
            <w:r>
              <w:rPr>
                <w:rFonts w:ascii="SimSun" w:hAnsi="SimSun" w:eastAsia="SimSun" w:cs="SimSun"/>
                <w:b/>
                <w:i w:val="0"/>
                <w:sz w:val="22"/>
              </w:rPr>
              <w:t>要求等级</w:t>
            </w:r>
          </w:p>
        </w:tc>
        <w:tc>
          <w:tcPr>
            <w:tcW w:w="18720" w:type="dxa"/>
            <w:shd w:val="clear" w:color="auto" w:fill="D5E8F0"/>
            <w:tcMar>
              <w:top w:w="100" w:type="dxa"/>
              <w:left w:w="100" w:type="dxa"/>
              <w:bottom w:w="100" w:type="dxa"/>
              <w:right w:w="100" w:type="dxa"/>
            </w:tcMar>
          </w:tcPr>
          <w:p w14:paraId="5CBDFB15">
            <w:pPr>
              <w:jc w:val="center"/>
            </w:pPr>
            <w:r>
              <w:rPr>
                <w:rFonts w:ascii="SimSun" w:hAnsi="SimSun" w:eastAsia="SimSun" w:cs="SimSun"/>
                <w:b/>
                <w:i w:val="0"/>
                <w:sz w:val="22"/>
              </w:rPr>
              <w:t>规范条款原文</w:t>
            </w:r>
          </w:p>
        </w:tc>
      </w:tr>
      <w:tr w14:paraId="0A80A1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6C0921A6">
            <w:pPr>
              <w:jc w:val="left"/>
            </w:pPr>
            <w:r>
              <w:rPr>
                <w:rFonts w:ascii="SimSun" w:hAnsi="SimSun" w:eastAsia="SimSun" w:cs="SimSun"/>
                <w:b w:val="0"/>
                <w:i w:val="0"/>
                <w:sz w:val="22"/>
              </w:rPr>
              <w:t>永久避难硐室生存室（O₂）</w:t>
            </w:r>
          </w:p>
        </w:tc>
        <w:tc>
          <w:tcPr>
            <w:tcW w:w="3213" w:type="dxa"/>
            <w:tcMar>
              <w:top w:w="100" w:type="dxa"/>
              <w:left w:w="100" w:type="dxa"/>
              <w:bottom w:w="100" w:type="dxa"/>
              <w:right w:w="100" w:type="dxa"/>
            </w:tcMar>
          </w:tcPr>
          <w:p w14:paraId="0823C624">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6B334DB2"/>
          <w:p w14:paraId="2B71C0E5">
            <w:r>
              <w:rPr>
                <w:rFonts w:ascii="SimSun" w:hAnsi="SimSun" w:eastAsia="SimSun"/>
                <w:sz w:val="18"/>
              </w:rPr>
              <w:t>《煤矿安全规程》："永久避难硐室生存室安装氧气传感器。"</w:t>
            </w:r>
          </w:p>
        </w:tc>
      </w:tr>
      <w:tr w14:paraId="654C2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3213" w:type="dxa"/>
            <w:tcMar>
              <w:top w:w="100" w:type="dxa"/>
              <w:left w:w="100" w:type="dxa"/>
              <w:bottom w:w="100" w:type="dxa"/>
              <w:right w:w="100" w:type="dxa"/>
            </w:tcMar>
          </w:tcPr>
          <w:p w14:paraId="3CAC9244">
            <w:pPr>
              <w:jc w:val="left"/>
            </w:pPr>
            <w:r>
              <w:rPr>
                <w:rFonts w:ascii="SimSun" w:hAnsi="SimSun" w:eastAsia="SimSun" w:cs="SimSun"/>
                <w:b w:val="0"/>
                <w:i w:val="0"/>
                <w:sz w:val="22"/>
              </w:rPr>
              <w:t>永久避难硐室入口及生存室（CO₂）</w:t>
            </w:r>
          </w:p>
        </w:tc>
        <w:tc>
          <w:tcPr>
            <w:tcW w:w="3213" w:type="dxa"/>
            <w:tcMar>
              <w:top w:w="100" w:type="dxa"/>
              <w:left w:w="100" w:type="dxa"/>
              <w:bottom w:w="100" w:type="dxa"/>
              <w:right w:w="100" w:type="dxa"/>
            </w:tcMar>
          </w:tcPr>
          <w:p w14:paraId="193AA92C">
            <w:pPr>
              <w:jc w:val="center"/>
            </w:pPr>
            <w:r>
              <w:rPr>
                <w:rFonts w:ascii="SimSun" w:hAnsi="SimSun" w:eastAsia="SimSun" w:cs="SimSun"/>
                <w:b w:val="0"/>
                <w:i w:val="0"/>
                <w:sz w:val="22"/>
              </w:rPr>
              <w:t>✅ 必装</w:t>
            </w:r>
          </w:p>
        </w:tc>
        <w:tc>
          <w:tcPr>
            <w:tcW w:w="3213" w:type="dxa"/>
            <w:tcMar>
              <w:top w:w="100" w:type="dxa"/>
              <w:left w:w="100" w:type="dxa"/>
              <w:bottom w:w="100" w:type="dxa"/>
              <w:right w:w="100" w:type="dxa"/>
            </w:tcMar>
          </w:tcPr>
          <w:p w14:paraId="09411DD4"/>
          <w:p w14:paraId="22F0824B">
            <w:r>
              <w:rPr>
                <w:rFonts w:ascii="SimSun" w:hAnsi="SimSun" w:eastAsia="SimSun"/>
                <w:sz w:val="18"/>
              </w:rPr>
              <w:t>《煤矿安全规程》："永久避难硐室入口安装二氧化碳传感器；生存室安装二氧化碳传感器。"</w:t>
            </w:r>
          </w:p>
        </w:tc>
      </w:tr>
    </w:tbl>
    <w:p w14:paraId="75B89037"/>
    <w:p w14:paraId="77E1591B">
      <w:pPr>
        <w:pStyle w:val="3"/>
      </w:pPr>
      <w:r>
        <w:t>附  录：特殊场景传感器配置速查</w:t>
      </w:r>
    </w:p>
    <w:p w14:paraId="6F3DBAF2">
      <w:pPr>
        <w:ind w:firstLine="480"/>
      </w:pPr>
      <w:r>
        <w:t>以下为常见易混淆场景的传感器配置建议，供现场技术管理参考。</w:t>
      </w:r>
    </w:p>
    <w:tbl>
      <w:tblPr>
        <w:tblStyle w:val="3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86"/>
        <w:gridCol w:w="1268"/>
        <w:gridCol w:w="1417"/>
        <w:gridCol w:w="1119"/>
        <w:gridCol w:w="1268"/>
        <w:gridCol w:w="1268"/>
        <w:gridCol w:w="1212"/>
      </w:tblGrid>
      <w:tr w14:paraId="07FCC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5760" w:type="dxa"/>
            <w:shd w:val="clear" w:color="auto" w:fill="D5E8F0"/>
            <w:tcMar>
              <w:top w:w="100" w:type="dxa"/>
              <w:left w:w="100" w:type="dxa"/>
              <w:bottom w:w="100" w:type="dxa"/>
              <w:right w:w="100" w:type="dxa"/>
            </w:tcMar>
          </w:tcPr>
          <w:p w14:paraId="6652EFF4">
            <w:pPr>
              <w:jc w:val="center"/>
            </w:pPr>
            <w:r>
              <w:rPr>
                <w:rFonts w:ascii="SimSun" w:hAnsi="SimSun" w:eastAsia="SimSun" w:cs="SimSun"/>
                <w:b/>
                <w:i w:val="0"/>
                <w:sz w:val="22"/>
              </w:rPr>
              <w:t>场景</w:t>
            </w:r>
          </w:p>
        </w:tc>
        <w:tc>
          <w:tcPr>
            <w:tcW w:w="2592" w:type="dxa"/>
            <w:shd w:val="clear" w:color="auto" w:fill="D5E8F0"/>
            <w:tcMar>
              <w:top w:w="100" w:type="dxa"/>
              <w:left w:w="100" w:type="dxa"/>
              <w:bottom w:w="100" w:type="dxa"/>
              <w:right w:w="100" w:type="dxa"/>
            </w:tcMar>
          </w:tcPr>
          <w:p w14:paraId="1282A15B">
            <w:pPr>
              <w:jc w:val="center"/>
            </w:pPr>
            <w:r>
              <w:rPr>
                <w:rFonts w:ascii="SimSun" w:hAnsi="SimSun" w:eastAsia="SimSun" w:cs="SimSun"/>
                <w:b/>
                <w:i w:val="0"/>
                <w:sz w:val="22"/>
              </w:rPr>
              <w:t>CH₄</w:t>
            </w:r>
          </w:p>
        </w:tc>
        <w:tc>
          <w:tcPr>
            <w:tcW w:w="2592" w:type="dxa"/>
            <w:shd w:val="clear" w:color="auto" w:fill="D5E8F0"/>
            <w:tcMar>
              <w:top w:w="100" w:type="dxa"/>
              <w:left w:w="100" w:type="dxa"/>
              <w:bottom w:w="100" w:type="dxa"/>
              <w:right w:w="100" w:type="dxa"/>
            </w:tcMar>
          </w:tcPr>
          <w:p w14:paraId="36CDDF5D">
            <w:pPr>
              <w:jc w:val="center"/>
            </w:pPr>
            <w:r>
              <w:rPr>
                <w:rFonts w:ascii="SimSun" w:hAnsi="SimSun" w:eastAsia="SimSun" w:cs="SimSun"/>
                <w:b/>
                <w:i w:val="0"/>
                <w:sz w:val="22"/>
              </w:rPr>
              <w:t>CO</w:t>
            </w:r>
          </w:p>
        </w:tc>
        <w:tc>
          <w:tcPr>
            <w:tcW w:w="2592" w:type="dxa"/>
            <w:shd w:val="clear" w:color="auto" w:fill="D5E8F0"/>
            <w:tcMar>
              <w:top w:w="100" w:type="dxa"/>
              <w:left w:w="100" w:type="dxa"/>
              <w:bottom w:w="100" w:type="dxa"/>
              <w:right w:w="100" w:type="dxa"/>
            </w:tcMar>
          </w:tcPr>
          <w:p w14:paraId="196C577D">
            <w:pPr>
              <w:jc w:val="center"/>
            </w:pPr>
            <w:r>
              <w:rPr>
                <w:rFonts w:ascii="SimSun" w:hAnsi="SimSun" w:eastAsia="SimSun" w:cs="SimSun"/>
                <w:b/>
                <w:i w:val="0"/>
                <w:sz w:val="22"/>
              </w:rPr>
              <w:t>风速</w:t>
            </w:r>
          </w:p>
        </w:tc>
        <w:tc>
          <w:tcPr>
            <w:tcW w:w="2592" w:type="dxa"/>
            <w:shd w:val="clear" w:color="auto" w:fill="D5E8F0"/>
            <w:tcMar>
              <w:top w:w="100" w:type="dxa"/>
              <w:left w:w="100" w:type="dxa"/>
              <w:bottom w:w="100" w:type="dxa"/>
              <w:right w:w="100" w:type="dxa"/>
            </w:tcMar>
          </w:tcPr>
          <w:p w14:paraId="6FC8671F">
            <w:pPr>
              <w:jc w:val="center"/>
            </w:pPr>
            <w:r>
              <w:rPr>
                <w:rFonts w:ascii="SimSun" w:hAnsi="SimSun" w:eastAsia="SimSun" w:cs="SimSun"/>
                <w:b/>
                <w:i w:val="0"/>
                <w:sz w:val="22"/>
              </w:rPr>
              <w:t>温度</w:t>
            </w:r>
          </w:p>
        </w:tc>
        <w:tc>
          <w:tcPr>
            <w:tcW w:w="2592" w:type="dxa"/>
            <w:shd w:val="clear" w:color="auto" w:fill="D5E8F0"/>
            <w:tcMar>
              <w:top w:w="100" w:type="dxa"/>
              <w:left w:w="100" w:type="dxa"/>
              <w:bottom w:w="100" w:type="dxa"/>
              <w:right w:w="100" w:type="dxa"/>
            </w:tcMar>
          </w:tcPr>
          <w:p w14:paraId="4BE311AC">
            <w:pPr>
              <w:jc w:val="center"/>
            </w:pPr>
            <w:r>
              <w:rPr>
                <w:rFonts w:ascii="SimSun" w:hAnsi="SimSun" w:eastAsia="SimSun" w:cs="SimSun"/>
                <w:b/>
                <w:i w:val="0"/>
                <w:sz w:val="22"/>
              </w:rPr>
              <w:t>烟雾</w:t>
            </w:r>
          </w:p>
        </w:tc>
        <w:tc>
          <w:tcPr>
            <w:tcW w:w="2880" w:type="dxa"/>
            <w:shd w:val="clear" w:color="auto" w:fill="D5E8F0"/>
            <w:tcMar>
              <w:top w:w="100" w:type="dxa"/>
              <w:left w:w="100" w:type="dxa"/>
              <w:bottom w:w="100" w:type="dxa"/>
              <w:right w:w="100" w:type="dxa"/>
            </w:tcMar>
          </w:tcPr>
          <w:p w14:paraId="143C2C82">
            <w:pPr>
              <w:jc w:val="center"/>
            </w:pPr>
            <w:r>
              <w:rPr>
                <w:rFonts w:ascii="SimSun" w:hAnsi="SimSun" w:eastAsia="SimSun" w:cs="SimSun"/>
                <w:b/>
                <w:i w:val="0"/>
                <w:sz w:val="22"/>
              </w:rPr>
              <w:t>其他</w:t>
            </w:r>
          </w:p>
        </w:tc>
      </w:tr>
      <w:tr w14:paraId="21EE30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7" w:type="dxa"/>
            <w:tcMar>
              <w:top w:w="100" w:type="dxa"/>
              <w:left w:w="100" w:type="dxa"/>
              <w:bottom w:w="100" w:type="dxa"/>
              <w:right w:w="100" w:type="dxa"/>
            </w:tcMar>
          </w:tcPr>
          <w:p w14:paraId="12C885C6">
            <w:pPr>
              <w:jc w:val="left"/>
            </w:pPr>
            <w:r>
              <w:rPr>
                <w:rFonts w:ascii="SimSun" w:hAnsi="SimSun" w:eastAsia="SimSun" w:cs="SimSun"/>
                <w:b w:val="0"/>
                <w:i w:val="0"/>
                <w:sz w:val="22"/>
              </w:rPr>
              <w:t>备用采煤工作面</w:t>
            </w:r>
            <w:r>
              <w:rPr>
                <w:rFonts w:ascii="SimSun" w:hAnsi="SimSun" w:eastAsia="SimSun" w:cs="SimSun"/>
                <w:b w:val="0"/>
                <w:i w:val="0"/>
                <w:sz w:val="22"/>
              </w:rPr>
              <w:br w:type="textWrapping"/>
            </w:r>
            <w:r>
              <w:rPr>
                <w:rFonts w:ascii="SimSun" w:hAnsi="SimSun" w:eastAsia="SimSun" w:cs="SimSun"/>
                <w:b w:val="0"/>
                <w:i w:val="0"/>
                <w:sz w:val="22"/>
              </w:rPr>
              <w:t>（已通风未回采、未装设备）</w:t>
            </w:r>
          </w:p>
        </w:tc>
        <w:tc>
          <w:tcPr>
            <w:tcW w:w="1377" w:type="dxa"/>
            <w:tcMar>
              <w:top w:w="100" w:type="dxa"/>
              <w:left w:w="100" w:type="dxa"/>
              <w:bottom w:w="100" w:type="dxa"/>
              <w:right w:w="100" w:type="dxa"/>
            </w:tcMar>
          </w:tcPr>
          <w:p w14:paraId="0699DACE">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上隅角+T2</w:t>
            </w:r>
          </w:p>
        </w:tc>
        <w:tc>
          <w:tcPr>
            <w:tcW w:w="1377" w:type="dxa"/>
            <w:tcMar>
              <w:top w:w="100" w:type="dxa"/>
              <w:left w:w="100" w:type="dxa"/>
              <w:bottom w:w="100" w:type="dxa"/>
              <w:right w:w="100" w:type="dxa"/>
            </w:tcMar>
          </w:tcPr>
          <w:p w14:paraId="3131D5A9">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自燃煤层装</w:t>
            </w:r>
          </w:p>
        </w:tc>
        <w:tc>
          <w:tcPr>
            <w:tcW w:w="1377" w:type="dxa"/>
            <w:tcMar>
              <w:top w:w="100" w:type="dxa"/>
              <w:left w:w="100" w:type="dxa"/>
              <w:bottom w:w="100" w:type="dxa"/>
              <w:right w:w="100" w:type="dxa"/>
            </w:tcMar>
          </w:tcPr>
          <w:p w14:paraId="479AB939">
            <w:pPr>
              <w:jc w:val="center"/>
            </w:pPr>
            <w:r>
              <w:rPr>
                <w:rFonts w:ascii="SimSun" w:hAnsi="SimSun" w:eastAsia="SimSun" w:cs="SimSun"/>
                <w:b w:val="0"/>
                <w:i w:val="0"/>
                <w:sz w:val="22"/>
              </w:rPr>
              <w:t>建议装</w:t>
            </w:r>
          </w:p>
        </w:tc>
        <w:tc>
          <w:tcPr>
            <w:tcW w:w="1377" w:type="dxa"/>
            <w:tcMar>
              <w:top w:w="100" w:type="dxa"/>
              <w:left w:w="100" w:type="dxa"/>
              <w:bottom w:w="100" w:type="dxa"/>
              <w:right w:w="100" w:type="dxa"/>
            </w:tcMar>
          </w:tcPr>
          <w:p w14:paraId="3B53D287">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自燃煤层装</w:t>
            </w:r>
          </w:p>
        </w:tc>
        <w:tc>
          <w:tcPr>
            <w:tcW w:w="1377" w:type="dxa"/>
            <w:tcMar>
              <w:top w:w="100" w:type="dxa"/>
              <w:left w:w="100" w:type="dxa"/>
              <w:bottom w:w="100" w:type="dxa"/>
              <w:right w:w="100" w:type="dxa"/>
            </w:tcMar>
          </w:tcPr>
          <w:p w14:paraId="0A006DB6">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3FE3350F">
            <w:pPr>
              <w:jc w:val="center"/>
            </w:pPr>
          </w:p>
        </w:tc>
      </w:tr>
      <w:tr w14:paraId="327CA2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7" w:type="dxa"/>
            <w:tcMar>
              <w:top w:w="100" w:type="dxa"/>
              <w:left w:w="100" w:type="dxa"/>
              <w:bottom w:w="100" w:type="dxa"/>
              <w:right w:w="100" w:type="dxa"/>
            </w:tcMar>
          </w:tcPr>
          <w:p w14:paraId="31EFBF39">
            <w:pPr>
              <w:jc w:val="left"/>
            </w:pPr>
            <w:r>
              <w:rPr>
                <w:rFonts w:ascii="SimSun" w:hAnsi="SimSun" w:eastAsia="SimSun" w:cs="SimSun"/>
                <w:b w:val="0"/>
                <w:i w:val="0"/>
                <w:sz w:val="22"/>
              </w:rPr>
              <w:t>局部通风巷道</w:t>
            </w:r>
            <w:r>
              <w:rPr>
                <w:rFonts w:ascii="SimSun" w:hAnsi="SimSun" w:eastAsia="SimSun" w:cs="SimSun"/>
                <w:b w:val="0"/>
                <w:i w:val="0"/>
                <w:sz w:val="22"/>
              </w:rPr>
              <w:br w:type="textWrapping"/>
            </w:r>
            <w:r>
              <w:rPr>
                <w:rFonts w:ascii="SimSun" w:hAnsi="SimSun" w:eastAsia="SimSun" w:cs="SimSun"/>
                <w:b w:val="0"/>
                <w:i w:val="0"/>
                <w:sz w:val="22"/>
              </w:rPr>
              <w:t>（无掘进、无皮带、有胶轮车）</w:t>
            </w:r>
          </w:p>
        </w:tc>
        <w:tc>
          <w:tcPr>
            <w:tcW w:w="1377" w:type="dxa"/>
            <w:tcMar>
              <w:top w:w="100" w:type="dxa"/>
              <w:left w:w="100" w:type="dxa"/>
              <w:bottom w:w="100" w:type="dxa"/>
              <w:right w:w="100" w:type="dxa"/>
            </w:tcMar>
          </w:tcPr>
          <w:p w14:paraId="34A302C9">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不强制</w:t>
            </w:r>
          </w:p>
        </w:tc>
        <w:tc>
          <w:tcPr>
            <w:tcW w:w="1377" w:type="dxa"/>
            <w:tcMar>
              <w:top w:w="100" w:type="dxa"/>
              <w:left w:w="100" w:type="dxa"/>
              <w:bottom w:w="100" w:type="dxa"/>
              <w:right w:w="100" w:type="dxa"/>
            </w:tcMar>
          </w:tcPr>
          <w:p w14:paraId="7BDD647A">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建议装</w:t>
            </w:r>
            <w:r>
              <w:rPr>
                <w:rFonts w:ascii="SimSun" w:hAnsi="SimSun" w:eastAsia="SimSun" w:cs="SimSun"/>
                <w:b w:val="0"/>
                <w:i w:val="0"/>
                <w:sz w:val="22"/>
              </w:rPr>
              <w:br w:type="textWrapping"/>
            </w:r>
            <w:r>
              <w:rPr>
                <w:rFonts w:ascii="SimSun" w:hAnsi="SimSun" w:eastAsia="SimSun" w:cs="SimSun"/>
                <w:b w:val="0"/>
                <w:i w:val="0"/>
                <w:sz w:val="22"/>
              </w:rPr>
              <w:t>（仅监测）</w:t>
            </w:r>
          </w:p>
        </w:tc>
        <w:tc>
          <w:tcPr>
            <w:tcW w:w="1377" w:type="dxa"/>
            <w:tcMar>
              <w:top w:w="100" w:type="dxa"/>
              <w:left w:w="100" w:type="dxa"/>
              <w:bottom w:w="100" w:type="dxa"/>
              <w:right w:w="100" w:type="dxa"/>
            </w:tcMar>
          </w:tcPr>
          <w:p w14:paraId="631F13DB">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6FA6A8EB">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14292F2A">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14FF06D1">
            <w:pPr>
              <w:jc w:val="center"/>
            </w:pPr>
          </w:p>
        </w:tc>
      </w:tr>
      <w:tr w14:paraId="670982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7" w:type="dxa"/>
            <w:tcMar>
              <w:top w:w="100" w:type="dxa"/>
              <w:left w:w="100" w:type="dxa"/>
              <w:bottom w:w="100" w:type="dxa"/>
              <w:right w:w="100" w:type="dxa"/>
            </w:tcMar>
          </w:tcPr>
          <w:p w14:paraId="7DEF11BD">
            <w:pPr>
              <w:jc w:val="left"/>
            </w:pPr>
            <w:r>
              <w:rPr>
                <w:rFonts w:ascii="SimSun" w:hAnsi="SimSun" w:eastAsia="SimSun" w:cs="SimSun"/>
                <w:b w:val="0"/>
                <w:i w:val="0"/>
                <w:sz w:val="22"/>
              </w:rPr>
              <w:t>主要运输大巷</w:t>
            </w:r>
            <w:r>
              <w:rPr>
                <w:rFonts w:ascii="SimSun" w:hAnsi="SimSun" w:eastAsia="SimSun" w:cs="SimSun"/>
                <w:b w:val="0"/>
                <w:i w:val="0"/>
                <w:sz w:val="22"/>
              </w:rPr>
              <w:br w:type="textWrapping"/>
            </w:r>
            <w:r>
              <w:rPr>
                <w:rFonts w:ascii="SimSun" w:hAnsi="SimSun" w:eastAsia="SimSun" w:cs="SimSun"/>
                <w:b w:val="0"/>
                <w:i w:val="0"/>
                <w:sz w:val="22"/>
              </w:rPr>
              <w:t>（有胶轮车通行）</w:t>
            </w:r>
          </w:p>
        </w:tc>
        <w:tc>
          <w:tcPr>
            <w:tcW w:w="1377" w:type="dxa"/>
            <w:tcMar>
              <w:top w:w="100" w:type="dxa"/>
              <w:left w:w="100" w:type="dxa"/>
              <w:bottom w:w="100" w:type="dxa"/>
              <w:right w:w="100" w:type="dxa"/>
            </w:tcMar>
          </w:tcPr>
          <w:p w14:paraId="595F8897">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不强制</w:t>
            </w:r>
          </w:p>
        </w:tc>
        <w:tc>
          <w:tcPr>
            <w:tcW w:w="1377" w:type="dxa"/>
            <w:tcMar>
              <w:top w:w="100" w:type="dxa"/>
              <w:left w:w="100" w:type="dxa"/>
              <w:bottom w:w="100" w:type="dxa"/>
              <w:right w:w="100" w:type="dxa"/>
            </w:tcMar>
          </w:tcPr>
          <w:p w14:paraId="1CD6F6A6">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建议装</w:t>
            </w:r>
            <w:r>
              <w:rPr>
                <w:rFonts w:ascii="SimSun" w:hAnsi="SimSun" w:eastAsia="SimSun" w:cs="SimSun"/>
                <w:b w:val="0"/>
                <w:i w:val="0"/>
                <w:sz w:val="22"/>
              </w:rPr>
              <w:br w:type="textWrapping"/>
            </w:r>
            <w:r>
              <w:rPr>
                <w:rFonts w:ascii="SimSun" w:hAnsi="SimSun" w:eastAsia="SimSun" w:cs="SimSun"/>
                <w:b w:val="0"/>
                <w:i w:val="0"/>
                <w:sz w:val="22"/>
              </w:rPr>
              <w:t>（柴油车尾气）</w:t>
            </w:r>
          </w:p>
        </w:tc>
        <w:tc>
          <w:tcPr>
            <w:tcW w:w="1377" w:type="dxa"/>
            <w:tcMar>
              <w:top w:w="100" w:type="dxa"/>
              <w:left w:w="100" w:type="dxa"/>
              <w:bottom w:w="100" w:type="dxa"/>
              <w:right w:w="100" w:type="dxa"/>
            </w:tcMar>
          </w:tcPr>
          <w:p w14:paraId="218D58FF">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非测风站可不装</w:t>
            </w:r>
          </w:p>
        </w:tc>
        <w:tc>
          <w:tcPr>
            <w:tcW w:w="1377" w:type="dxa"/>
            <w:tcMar>
              <w:top w:w="100" w:type="dxa"/>
              <w:left w:w="100" w:type="dxa"/>
              <w:bottom w:w="100" w:type="dxa"/>
              <w:right w:w="100" w:type="dxa"/>
            </w:tcMar>
          </w:tcPr>
          <w:p w14:paraId="19FBDD90">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6D5BB78B">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4816F74E">
            <w:pPr>
              <w:jc w:val="center"/>
            </w:pPr>
          </w:p>
        </w:tc>
      </w:tr>
      <w:tr w14:paraId="2D737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7" w:type="dxa"/>
            <w:tcMar>
              <w:top w:w="100" w:type="dxa"/>
              <w:left w:w="100" w:type="dxa"/>
              <w:bottom w:w="100" w:type="dxa"/>
              <w:right w:w="100" w:type="dxa"/>
            </w:tcMar>
          </w:tcPr>
          <w:p w14:paraId="61E6EC90">
            <w:pPr>
              <w:jc w:val="left"/>
            </w:pPr>
            <w:r>
              <w:rPr>
                <w:rFonts w:ascii="SimSun" w:hAnsi="SimSun" w:eastAsia="SimSun" w:cs="SimSun"/>
                <w:b w:val="0"/>
                <w:i w:val="0"/>
                <w:sz w:val="22"/>
              </w:rPr>
              <w:t>水仓</w:t>
            </w:r>
          </w:p>
        </w:tc>
        <w:tc>
          <w:tcPr>
            <w:tcW w:w="1377" w:type="dxa"/>
            <w:tcMar>
              <w:top w:w="100" w:type="dxa"/>
              <w:left w:w="100" w:type="dxa"/>
              <w:bottom w:w="100" w:type="dxa"/>
              <w:right w:w="100" w:type="dxa"/>
            </w:tcMar>
          </w:tcPr>
          <w:p w14:paraId="3A4EBA7D">
            <w:pPr>
              <w:jc w:val="center"/>
            </w:pPr>
            <w:r>
              <w:rPr>
                <w:rFonts w:ascii="SimSun" w:hAnsi="SimSun" w:eastAsia="SimSun" w:cs="SimSun"/>
                <w:b w:val="0"/>
                <w:i w:val="0"/>
                <w:sz w:val="22"/>
              </w:rPr>
              <w:t>❌</w:t>
            </w:r>
            <w:r>
              <w:rPr>
                <w:rFonts w:ascii="SimSun" w:hAnsi="SimSun" w:eastAsia="SimSun" w:cs="SimSun"/>
                <w:b w:val="0"/>
                <w:i w:val="0"/>
                <w:sz w:val="22"/>
              </w:rPr>
              <w:br w:type="textWrapping"/>
            </w:r>
            <w:r>
              <w:rPr>
                <w:rFonts w:ascii="SimSun" w:hAnsi="SimSun" w:eastAsia="SimSun" w:cs="SimSun"/>
                <w:b w:val="0"/>
                <w:i w:val="0"/>
                <w:sz w:val="22"/>
              </w:rPr>
              <w:t>不强制</w:t>
            </w:r>
          </w:p>
        </w:tc>
        <w:tc>
          <w:tcPr>
            <w:tcW w:w="1377" w:type="dxa"/>
            <w:tcMar>
              <w:top w:w="100" w:type="dxa"/>
              <w:left w:w="100" w:type="dxa"/>
              <w:bottom w:w="100" w:type="dxa"/>
              <w:right w:w="100" w:type="dxa"/>
            </w:tcMar>
          </w:tcPr>
          <w:p w14:paraId="430627E7">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70825F58">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1889B0BC">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43BB92DF">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67A49168">
            <w:pPr>
              <w:jc w:val="center"/>
            </w:pPr>
            <w:r>
              <w:rPr>
                <w:rFonts w:ascii="SimSun" w:hAnsi="SimSun" w:eastAsia="SimSun" w:cs="SimSun"/>
                <w:b w:val="0"/>
                <w:i w:val="0"/>
                <w:sz w:val="22"/>
              </w:rPr>
              <w:t>水位传感器</w:t>
            </w:r>
            <w:r>
              <w:rPr>
                <w:rFonts w:ascii="SimSun" w:hAnsi="SimSun" w:eastAsia="SimSun" w:cs="SimSun"/>
                <w:b w:val="0"/>
                <w:i w:val="0"/>
                <w:sz w:val="22"/>
              </w:rPr>
              <w:br w:type="textWrapping"/>
            </w:r>
            <w:r>
              <w:rPr>
                <w:rFonts w:ascii="SimSun" w:hAnsi="SimSun" w:eastAsia="SimSun" w:cs="SimSun"/>
                <w:b w:val="0"/>
                <w:i w:val="0"/>
                <w:sz w:val="22"/>
              </w:rPr>
              <w:t>属排水系统</w:t>
            </w:r>
          </w:p>
        </w:tc>
      </w:tr>
      <w:tr w14:paraId="6C190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7" w:type="dxa"/>
            <w:tcMar>
              <w:top w:w="100" w:type="dxa"/>
              <w:left w:w="100" w:type="dxa"/>
              <w:bottom w:w="100" w:type="dxa"/>
              <w:right w:w="100" w:type="dxa"/>
            </w:tcMar>
          </w:tcPr>
          <w:p w14:paraId="660DFF0C">
            <w:pPr>
              <w:jc w:val="left"/>
            </w:pPr>
            <w:r>
              <w:rPr>
                <w:rFonts w:ascii="SimSun" w:hAnsi="SimSun" w:eastAsia="SimSun" w:cs="SimSun"/>
                <w:b w:val="0"/>
                <w:i w:val="0"/>
                <w:sz w:val="22"/>
              </w:rPr>
              <w:t>皮带巷</w:t>
            </w:r>
            <w:r>
              <w:rPr>
                <w:rFonts w:ascii="SimSun" w:hAnsi="SimSun" w:eastAsia="SimSun" w:cs="SimSun"/>
                <w:b w:val="0"/>
                <w:i w:val="0"/>
                <w:sz w:val="22"/>
              </w:rPr>
              <w:br w:type="textWrapping"/>
            </w:r>
            <w:r>
              <w:rPr>
                <w:rFonts w:ascii="SimSun" w:hAnsi="SimSun" w:eastAsia="SimSun" w:cs="SimSun"/>
                <w:b w:val="0"/>
                <w:i w:val="0"/>
                <w:sz w:val="22"/>
              </w:rPr>
              <w:t>（有胶带输送机）</w:t>
            </w:r>
          </w:p>
        </w:tc>
        <w:tc>
          <w:tcPr>
            <w:tcW w:w="1377" w:type="dxa"/>
            <w:tcMar>
              <w:top w:w="100" w:type="dxa"/>
              <w:left w:w="100" w:type="dxa"/>
              <w:bottom w:w="100" w:type="dxa"/>
              <w:right w:w="100" w:type="dxa"/>
            </w:tcMar>
          </w:tcPr>
          <w:p w14:paraId="1333A12B">
            <w:pPr>
              <w:jc w:val="center"/>
            </w:pPr>
            <w:r>
              <w:rPr>
                <w:rFonts w:ascii="SimSun" w:hAnsi="SimSun" w:eastAsia="SimSun" w:cs="SimSun"/>
                <w:b w:val="0"/>
                <w:i w:val="0"/>
                <w:sz w:val="22"/>
              </w:rPr>
              <w:t>视安装位置</w:t>
            </w:r>
            <w:r>
              <w:rPr>
                <w:rFonts w:ascii="SimSun" w:hAnsi="SimSun" w:eastAsia="SimSun" w:cs="SimSun"/>
                <w:b w:val="0"/>
                <w:i w:val="0"/>
                <w:sz w:val="22"/>
              </w:rPr>
              <w:br w:type="textWrapping"/>
            </w:r>
            <w:r>
              <w:rPr>
                <w:rFonts w:ascii="SimSun" w:hAnsi="SimSun" w:eastAsia="SimSun" w:cs="SimSun"/>
                <w:b w:val="0"/>
                <w:i w:val="0"/>
                <w:sz w:val="22"/>
              </w:rPr>
              <w:t>（回风流则必装）</w:t>
            </w:r>
          </w:p>
        </w:tc>
        <w:tc>
          <w:tcPr>
            <w:tcW w:w="1377" w:type="dxa"/>
            <w:tcMar>
              <w:top w:w="100" w:type="dxa"/>
              <w:left w:w="100" w:type="dxa"/>
              <w:bottom w:w="100" w:type="dxa"/>
              <w:right w:w="100" w:type="dxa"/>
            </w:tcMar>
          </w:tcPr>
          <w:p w14:paraId="2466C7A4">
            <w:pPr>
              <w:jc w:val="center"/>
            </w:pPr>
            <w:r>
              <w:rPr>
                <w:rFonts w:ascii="SimSun" w:hAnsi="SimSun" w:eastAsia="SimSun" w:cs="SimSun"/>
                <w:b w:val="0"/>
                <w:i w:val="0"/>
                <w:sz w:val="22"/>
              </w:rPr>
              <w:t>✅ 必装</w:t>
            </w:r>
            <w:r>
              <w:rPr>
                <w:rFonts w:ascii="SimSun" w:hAnsi="SimSun" w:eastAsia="SimSun" w:cs="SimSun"/>
                <w:b w:val="0"/>
                <w:i w:val="0"/>
                <w:sz w:val="22"/>
              </w:rPr>
              <w:br w:type="textWrapping"/>
            </w:r>
            <w:r>
              <w:rPr>
                <w:rFonts w:ascii="SimSun" w:hAnsi="SimSun" w:eastAsia="SimSun" w:cs="SimSun"/>
                <w:b w:val="0"/>
                <w:i w:val="0"/>
                <w:sz w:val="22"/>
              </w:rPr>
              <w:t>（2025新规）</w:t>
            </w:r>
          </w:p>
        </w:tc>
        <w:tc>
          <w:tcPr>
            <w:tcW w:w="1377" w:type="dxa"/>
            <w:tcMar>
              <w:top w:w="100" w:type="dxa"/>
              <w:left w:w="100" w:type="dxa"/>
              <w:bottom w:w="100" w:type="dxa"/>
              <w:right w:w="100" w:type="dxa"/>
            </w:tcMar>
          </w:tcPr>
          <w:p w14:paraId="46E03C29">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24352A93">
            <w:pPr>
              <w:jc w:val="center"/>
            </w:pPr>
            <w:r>
              <w:rPr>
                <w:rFonts w:ascii="SimSun" w:hAnsi="SimSun" w:eastAsia="SimSun" w:cs="SimSun"/>
                <w:b w:val="0"/>
                <w:i w:val="0"/>
                <w:sz w:val="22"/>
              </w:rPr>
              <w:t>✅ 必装</w:t>
            </w:r>
            <w:r>
              <w:rPr>
                <w:rFonts w:ascii="SimSun" w:hAnsi="SimSun" w:eastAsia="SimSun" w:cs="SimSun"/>
                <w:b w:val="0"/>
                <w:i w:val="0"/>
                <w:sz w:val="22"/>
              </w:rPr>
              <w:br w:type="textWrapping"/>
            </w:r>
            <w:r>
              <w:rPr>
                <w:rFonts w:ascii="SimSun" w:hAnsi="SimSun" w:eastAsia="SimSun" w:cs="SimSun"/>
                <w:b w:val="0"/>
                <w:i w:val="0"/>
                <w:sz w:val="22"/>
              </w:rPr>
              <w:t>（滚筒测温）</w:t>
            </w:r>
          </w:p>
        </w:tc>
        <w:tc>
          <w:tcPr>
            <w:tcW w:w="1377" w:type="dxa"/>
            <w:tcMar>
              <w:top w:w="100" w:type="dxa"/>
              <w:left w:w="100" w:type="dxa"/>
              <w:bottom w:w="100" w:type="dxa"/>
              <w:right w:w="100" w:type="dxa"/>
            </w:tcMar>
          </w:tcPr>
          <w:p w14:paraId="6DF14B0D">
            <w:pPr>
              <w:jc w:val="center"/>
            </w:pPr>
            <w:r>
              <w:rPr>
                <w:rFonts w:ascii="SimSun" w:hAnsi="SimSun" w:eastAsia="SimSun" w:cs="SimSun"/>
                <w:b w:val="0"/>
                <w:i w:val="0"/>
                <w:sz w:val="22"/>
              </w:rPr>
              <w:t>✅ 必装</w:t>
            </w:r>
            <w:r>
              <w:rPr>
                <w:rFonts w:ascii="SimSun" w:hAnsi="SimSun" w:eastAsia="SimSun" w:cs="SimSun"/>
                <w:b w:val="0"/>
                <w:i w:val="0"/>
                <w:sz w:val="22"/>
              </w:rPr>
              <w:br w:type="textWrapping"/>
            </w:r>
            <w:r>
              <w:rPr>
                <w:rFonts w:ascii="SimSun" w:hAnsi="SimSun" w:eastAsia="SimSun" w:cs="SimSun"/>
                <w:b w:val="0"/>
                <w:i w:val="0"/>
                <w:sz w:val="22"/>
              </w:rPr>
              <w:t>（滚筒下风侧）</w:t>
            </w:r>
          </w:p>
        </w:tc>
        <w:tc>
          <w:tcPr>
            <w:tcW w:w="1377" w:type="dxa"/>
            <w:tcMar>
              <w:top w:w="100" w:type="dxa"/>
              <w:left w:w="100" w:type="dxa"/>
              <w:bottom w:w="100" w:type="dxa"/>
              <w:right w:w="100" w:type="dxa"/>
            </w:tcMar>
          </w:tcPr>
          <w:p w14:paraId="4ECBF7EA">
            <w:pPr>
              <w:jc w:val="center"/>
            </w:pPr>
            <w:r>
              <w:rPr>
                <w:rFonts w:ascii="SimSun" w:hAnsi="SimSun" w:eastAsia="SimSun" w:cs="SimSun"/>
                <w:b w:val="0"/>
                <w:i w:val="0"/>
                <w:sz w:val="22"/>
              </w:rPr>
              <w:t>烟雾+自动洒水</w:t>
            </w:r>
          </w:p>
        </w:tc>
      </w:tr>
      <w:tr w14:paraId="054CA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77" w:type="dxa"/>
            <w:tcMar>
              <w:top w:w="100" w:type="dxa"/>
              <w:left w:w="100" w:type="dxa"/>
              <w:bottom w:w="100" w:type="dxa"/>
              <w:right w:w="100" w:type="dxa"/>
            </w:tcMar>
          </w:tcPr>
          <w:p w14:paraId="6B319803">
            <w:pPr>
              <w:jc w:val="left"/>
            </w:pPr>
            <w:r>
              <w:rPr>
                <w:rFonts w:ascii="SimSun" w:hAnsi="SimSun" w:eastAsia="SimSun" w:cs="SimSun"/>
                <w:b w:val="0"/>
                <w:i w:val="0"/>
                <w:sz w:val="22"/>
              </w:rPr>
              <w:t>回风流中的机电硐室</w:t>
            </w:r>
          </w:p>
        </w:tc>
        <w:tc>
          <w:tcPr>
            <w:tcW w:w="1377" w:type="dxa"/>
            <w:tcMar>
              <w:top w:w="100" w:type="dxa"/>
              <w:left w:w="100" w:type="dxa"/>
              <w:bottom w:w="100" w:type="dxa"/>
              <w:right w:w="100" w:type="dxa"/>
            </w:tcMar>
          </w:tcPr>
          <w:p w14:paraId="53081329">
            <w:pPr>
              <w:jc w:val="center"/>
            </w:pPr>
            <w:r>
              <w:rPr>
                <w:rFonts w:ascii="SimSun" w:hAnsi="SimSun" w:eastAsia="SimSun" w:cs="SimSun"/>
                <w:b w:val="0"/>
                <w:i w:val="0"/>
                <w:sz w:val="22"/>
              </w:rPr>
              <w:t>✅ 必装</w:t>
            </w:r>
            <w:r>
              <w:rPr>
                <w:rFonts w:ascii="SimSun" w:hAnsi="SimSun" w:eastAsia="SimSun" w:cs="SimSun"/>
                <w:b w:val="0"/>
                <w:i w:val="0"/>
                <w:sz w:val="22"/>
              </w:rPr>
              <w:br w:type="textWrapping"/>
            </w:r>
            <w:r>
              <w:rPr>
                <w:rFonts w:ascii="SimSun" w:hAnsi="SimSun" w:eastAsia="SimSun" w:cs="SimSun"/>
                <w:b w:val="0"/>
                <w:i w:val="0"/>
                <w:sz w:val="22"/>
              </w:rPr>
              <w:t>（进风侧）</w:t>
            </w:r>
          </w:p>
        </w:tc>
        <w:tc>
          <w:tcPr>
            <w:tcW w:w="1377" w:type="dxa"/>
            <w:tcMar>
              <w:top w:w="100" w:type="dxa"/>
              <w:left w:w="100" w:type="dxa"/>
              <w:bottom w:w="100" w:type="dxa"/>
              <w:right w:w="100" w:type="dxa"/>
            </w:tcMar>
          </w:tcPr>
          <w:p w14:paraId="2000B9FA">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6B2D993D">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3AE50275">
            <w:pPr>
              <w:jc w:val="center"/>
            </w:pPr>
            <w:r>
              <w:rPr>
                <w:rFonts w:ascii="SimSun" w:hAnsi="SimSun" w:eastAsia="SimSun" w:cs="SimSun"/>
                <w:b w:val="0"/>
                <w:i w:val="0"/>
                <w:sz w:val="22"/>
              </w:rPr>
              <w:t>✅ 必装</w:t>
            </w:r>
            <w:r>
              <w:rPr>
                <w:rFonts w:ascii="SimSun" w:hAnsi="SimSun" w:eastAsia="SimSun" w:cs="SimSun"/>
                <w:b w:val="0"/>
                <w:i w:val="0"/>
                <w:sz w:val="22"/>
              </w:rPr>
              <w:br w:type="textWrapping"/>
            </w:r>
            <w:r>
              <w:rPr>
                <w:rFonts w:ascii="SimSun" w:hAnsi="SimSun" w:eastAsia="SimSun" w:cs="SimSun"/>
                <w:b w:val="0"/>
                <w:i w:val="0"/>
                <w:sz w:val="22"/>
              </w:rPr>
              <w:t>（硐室内）</w:t>
            </w:r>
          </w:p>
        </w:tc>
        <w:tc>
          <w:tcPr>
            <w:tcW w:w="1377" w:type="dxa"/>
            <w:tcMar>
              <w:top w:w="100" w:type="dxa"/>
              <w:left w:w="100" w:type="dxa"/>
              <w:bottom w:w="100" w:type="dxa"/>
              <w:right w:w="100" w:type="dxa"/>
            </w:tcMar>
          </w:tcPr>
          <w:p w14:paraId="1BF9378E">
            <w:pPr>
              <w:jc w:val="center"/>
            </w:pPr>
            <w:r>
              <w:rPr>
                <w:rFonts w:ascii="SimSun" w:hAnsi="SimSun" w:eastAsia="SimSun" w:cs="SimSun"/>
                <w:b w:val="0"/>
                <w:i w:val="0"/>
                <w:sz w:val="22"/>
              </w:rPr>
              <w:t>❌</w:t>
            </w:r>
          </w:p>
        </w:tc>
        <w:tc>
          <w:tcPr>
            <w:tcW w:w="1377" w:type="dxa"/>
            <w:tcMar>
              <w:top w:w="100" w:type="dxa"/>
              <w:left w:w="100" w:type="dxa"/>
              <w:bottom w:w="100" w:type="dxa"/>
              <w:right w:w="100" w:type="dxa"/>
            </w:tcMar>
          </w:tcPr>
          <w:p w14:paraId="667BE8DC">
            <w:pPr>
              <w:jc w:val="center"/>
            </w:pPr>
          </w:p>
        </w:tc>
      </w:tr>
    </w:tbl>
    <w:p w14:paraId="2DB5092F"/>
    <w:p w14:paraId="2AC0907F">
      <w:pPr>
        <w:pStyle w:val="4"/>
      </w:pPr>
      <w:r>
        <w:t>附录：引用标准及文件清单</w:t>
      </w:r>
    </w:p>
    <w:p w14:paraId="598BB866">
      <w:pPr>
        <w:pStyle w:val="16"/>
      </w:pPr>
      <w:r>
        <w:t>AQ1029-2019《煤矿安全监控系统及检测仪器使用管理规范》</w:t>
      </w:r>
    </w:p>
    <w:p w14:paraId="5FB1DE31">
      <w:pPr>
        <w:pStyle w:val="16"/>
      </w:pPr>
      <w:r>
        <w:t>《煤矿安全规程》（2025版）</w:t>
      </w:r>
    </w:p>
    <w:p w14:paraId="169DC8D0">
      <w:pPr>
        <w:pStyle w:val="16"/>
      </w:pPr>
      <w:r>
        <w:t>《煤矿防灭火细则》（矿安〔2020〕156号）</w:t>
      </w:r>
    </w:p>
    <w:p w14:paraId="120448E5">
      <w:pPr>
        <w:pStyle w:val="16"/>
      </w:pPr>
      <w:r>
        <w:t>AQ6201-2019《煤矿安全监控系统通用技术要求》</w:t>
      </w:r>
    </w:p>
    <w:p w14:paraId="729C786C">
      <w:pPr>
        <w:pStyle w:val="16"/>
      </w:pPr>
      <w:r>
        <w:t>GB50581-2020《煤炭工业矿井监测监控系统装备配置标准》</w:t>
      </w:r>
    </w:p>
    <w:p w14:paraId="30D4CC76">
      <w:pPr>
        <w:pStyle w:val="16"/>
      </w:pPr>
      <w:r>
        <w:t>《煤矿重大事故隐患判定标准》（应急管理部令第4号）</w:t>
      </w:r>
    </w:p>
    <w:p w14:paraId="68FFCC31">
      <w:pPr>
        <w:pStyle w:val="16"/>
      </w:pPr>
      <w:r>
        <w:t>GBZ 2.1-2019《工作场所有害因素职业接触限值》</w:t>
      </w:r>
    </w:p>
    <w:p w14:paraId="1E702472">
      <w:pPr>
        <w:pStyle w:val="16"/>
      </w:pPr>
      <w:r>
        <w:t>GB 51078-2015《煤炭矿井设计防火规范》</w:t>
      </w:r>
    </w:p>
    <w:p w14:paraId="7ECF4037">
      <w:pPr>
        <w:pStyle w:val="16"/>
      </w:pPr>
      <w:r>
        <w:t>AQ1020-2006《煤矿井下粉尘综合防治技术规范》</w:t>
      </w:r>
    </w:p>
    <w:p w14:paraId="0EAA5377">
      <w:pPr>
        <w:pStyle w:val="16"/>
      </w:pPr>
      <w:r>
        <w:t>MT/T825-1999《矿用水位传感器通用技术条件》</w:t>
      </w:r>
    </w:p>
    <w:p w14:paraId="2378DC62">
      <w:pPr>
        <w:pStyle w:val="16"/>
      </w:pPr>
      <w:r>
        <w:t>《安徽省煤矿瓦斯综合治理与利用办法》（皖政办秘〔2022〕62号）</w:t>
      </w:r>
    </w:p>
    <w:p w14:paraId="020ECF4D">
      <w:pPr>
        <w:pStyle w:val="16"/>
      </w:pPr>
      <w:r>
        <w:t>国家矿山安全监察局《关于进一步加强煤矿安全监控系统管理工作的通知》</w:t>
      </w:r>
    </w:p>
    <w:p w14:paraId="483CDD61">
      <w:pPr>
        <w:pStyle w:val="16"/>
      </w:pPr>
      <w:r>
        <w:t>国家矿山安全监察局《煤矿火灾防控重点》（2025年）</w:t>
      </w:r>
    </w:p>
    <w:p w14:paraId="1A2999F1"/>
    <w:p w14:paraId="628BD817">
      <w:pPr>
        <w:jc w:val="both"/>
      </w:pPr>
      <w:bookmarkStart w:id="0" w:name="_GoBack"/>
      <w:bookmarkEnd w:id="0"/>
    </w:p>
    <w:sectPr>
      <w:footerReference r:id="rId5" w:type="default"/>
      <w:pgSz w:w="11906" w:h="16838"/>
      <w:pgMar w:top="1134" w:right="1134" w:bottom="1134" w:left="1134"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书宋-简"/>
    <w:panose1 w:val="00000000000000000000"/>
    <w:charset w:val="00"/>
    <w:family w:val="auto"/>
    <w:pitch w:val="default"/>
    <w:sig w:usb0="00000000" w:usb1="00000000" w:usb2="00000000" w:usb3="00000000" w:csb0="00000000" w:csb1="00000000"/>
  </w:font>
  <w:font w:name="Wingdings">
    <w:altName w:val="FTToken"/>
    <w:panose1 w:val="05000000000000000000"/>
    <w:charset w:val="02"/>
    <w:family w:val="auto"/>
    <w:pitch w:val="default"/>
    <w:sig w:usb0="00000000" w:usb1="00000000" w:usb2="00000000" w:usb3="00000000" w:csb0="80000000" w:csb1="00000000"/>
  </w:font>
  <w:font w:name="Arial">
    <w:altName w:val="HarmonyOS Sans"/>
    <w:panose1 w:val="020B0604020202020204"/>
    <w:charset w:val="01"/>
    <w:family w:val="swiss"/>
    <w:pitch w:val="default"/>
    <w:sig w:usb0="E0002AFF" w:usb1="C0007843" w:usb2="00000009" w:usb3="00000000" w:csb0="400001FF" w:csb1="FFFF0000"/>
  </w:font>
  <w:font w:name="黑体">
    <w:altName w:val="Noto Sans CJK SC"/>
    <w:panose1 w:val="02010609060101010101"/>
    <w:charset w:val="86"/>
    <w:family w:val="auto"/>
    <w:pitch w:val="default"/>
    <w:sig w:usb0="800002BF" w:usb1="38CF7CFA" w:usb2="00000016" w:usb3="00000000" w:csb0="00040001" w:csb1="00000000"/>
  </w:font>
  <w:font w:name="Courier New">
    <w:altName w:val="HarmonyOS Sans"/>
    <w:panose1 w:val="02070309020205020404"/>
    <w:charset w:val="01"/>
    <w:family w:val="modern"/>
    <w:pitch w:val="default"/>
    <w:sig w:usb0="E0002AFF" w:usb1="C0007843" w:usb2="00000009" w:usb3="00000000" w:csb0="400001FF" w:csb1="FFFF0000"/>
  </w:font>
  <w:font w:name="Symbol">
    <w:altName w:val="Kingsoft Sign"/>
    <w:panose1 w:val="05050102010706020507"/>
    <w:charset w:val="02"/>
    <w:family w:val="roman"/>
    <w:pitch w:val="default"/>
    <w:sig w:usb0="00000000" w:usb1="00000000" w:usb2="00000000" w:usb3="00000000" w:csb0="80000000" w:csb1="00000000"/>
  </w:font>
  <w:font w:name="HarmonyOS Sans">
    <w:panose1 w:val="00000500000000000000"/>
    <w:charset w:val="00"/>
    <w:family w:val="auto"/>
    <w:pitch w:val="default"/>
    <w:sig w:usb0="A0000287" w:usb1="00000011" w:usb2="00000000" w:usb3="00000000" w:csb0="00000001" w:csb1="00000000"/>
  </w:font>
  <w:font w:name="Calibri">
    <w:altName w:val="HarmonyOS Sans"/>
    <w:panose1 w:val="020F0502020204030204"/>
    <w:charset w:val="00"/>
    <w:family w:val="swiss"/>
    <w:pitch w:val="default"/>
    <w:sig w:usb0="00000000" w:usb1="00000000" w:usb2="00000009" w:usb3="00000000" w:csb0="200001FF" w:csb1="00000000"/>
  </w:font>
  <w:font w:name="书宋-简">
    <w:panose1 w:val="00000500000000000000"/>
    <w:charset w:val="86"/>
    <w:family w:val="auto"/>
    <w:pitch w:val="default"/>
    <w:sig w:usb0="A00002BF" w:usb1="18EF7CFA" w:usb2="00000016" w:usb3="00000000" w:csb0="00040001" w:csb1="00000000"/>
  </w:font>
  <w:font w:name="HarmonyOS Sans SC">
    <w:panose1 w:val="00000500000000000000"/>
    <w:charset w:val="86"/>
    <w:family w:val="auto"/>
    <w:pitch w:val="default"/>
    <w:sig w:usb0="A00002BF" w:usb1="18EF7CFA" w:usb2="00000016" w:usb3="00000000" w:csb0="00040001" w:csb1="00000000"/>
  </w:font>
  <w:font w:name="Noto Sans CJK SC">
    <w:panose1 w:val="020B0500000000000000"/>
    <w:charset w:val="86"/>
    <w:family w:val="auto"/>
    <w:pitch w:val="default"/>
    <w:sig w:usb0="30000083" w:usb1="2BDF3C10" w:usb2="00000016" w:usb3="00000000" w:csb0="602E0107" w:csb1="00000000"/>
  </w:font>
  <w:font w:name="FTToken">
    <w:panose1 w:val="05000000000000000000"/>
    <w:charset w:val="00"/>
    <w:family w:val="auto"/>
    <w:pitch w:val="default"/>
    <w:sig w:usb0="00000000" w:usb1="10000000" w:usb2="00000000" w:usb3="00000000" w:csb0="80000000" w:csb1="00000000"/>
  </w:font>
  <w:font w:name="Cambria">
    <w:altName w:val="Noto Sans Medefaidrin"/>
    <w:panose1 w:val="02040503050406030204"/>
    <w:charset w:val="00"/>
    <w:family w:val="auto"/>
    <w:pitch w:val="default"/>
    <w:sig w:usb0="00000000" w:usb1="00000000" w:usb2="00000000" w:usb3="00000000" w:csb0="0000019F" w:csb1="00000000"/>
  </w:font>
  <w:font w:name="Noto Sans Medefaidrin">
    <w:panose1 w:val="02020502060505020204"/>
    <w:charset w:val="00"/>
    <w:family w:val="auto"/>
    <w:pitch w:val="default"/>
    <w:sig w:usb0="00000001" w:usb1="02000000" w:usb2="00000000" w:usb3="00000000" w:csb0="00000001" w:csb1="00000000"/>
  </w:font>
  <w:font w:name="ＭＳ 明朝">
    <w:altName w:val="书宋-简"/>
    <w:panose1 w:val="00000000000000000000"/>
    <w:charset w:val="80"/>
    <w:family w:val="roman"/>
    <w:pitch w:val="default"/>
    <w:sig w:usb0="00000000" w:usb1="00000000" w:usb2="00000010" w:usb3="00000000" w:csb0="00020000" w:csb1="00000000"/>
  </w:font>
  <w:font w:name="ＭＳ 明朝">
    <w:altName w:val="书宋-简"/>
    <w:panose1 w:val="00000000000000000000"/>
    <w:charset w:val="86"/>
    <w:family w:val="auto"/>
    <w:pitch w:val="default"/>
    <w:sig w:usb0="00000000" w:usb1="00000000" w:usb2="00000000" w:usb3="00000000" w:csb0="00000000" w:csb1="00000000"/>
  </w:font>
  <w:font w:name="SimSun">
    <w:altName w:val="书宋-简"/>
    <w:panose1 w:val="00000000000000000000"/>
    <w:charset w:val="00"/>
    <w:family w:val="auto"/>
    <w:pitch w:val="default"/>
    <w:sig w:usb0="00000000" w:usb1="00000000" w:usb2="00000000" w:usb3="00000000" w:csb0="00000000" w:csb1="00000000"/>
  </w:font>
  <w:font w:name="SimHei">
    <w:altName w:val="Noto Sans CJK SC"/>
    <w:panose1 w:val="00000000000000000000"/>
    <w:charset w:val="00"/>
    <w:family w:val="auto"/>
    <w:pitch w:val="default"/>
    <w:sig w:usb0="00000000" w:usb1="00000000" w:usb2="00000000" w:usb3="00000000" w:csb0="00000000" w:csb1="00000000"/>
  </w:font>
  <w:font w:name="ＭＳ ゴシック">
    <w:altName w:val="书宋-简"/>
    <w:panose1 w:val="00000000000000000000"/>
    <w:charset w:val="80"/>
    <w:family w:val="modern"/>
    <w:pitch w:val="default"/>
    <w:sig w:usb0="00000000" w:usb1="00000000" w:usb2="00000010" w:usb3="00000000" w:csb0="00020000" w:csb1="00000000"/>
  </w:font>
  <w:font w:name="ＭＳ 明朝">
    <w:altName w:val="书宋-简"/>
    <w:panose1 w:val="00000000000000000000"/>
    <w:charset w:val="00"/>
    <w:family w:val="auto"/>
    <w:pitch w:val="default"/>
    <w:sig w:usb0="00000000" w:usb1="00000000" w:usb2="00000000" w:usb3="00000000" w:csb0="00000000" w:csb1="00000000"/>
  </w:font>
  <w:font w:name="Kingsoft Sign">
    <w:panose1 w:val="05050102010706020507"/>
    <w:charset w:val="00"/>
    <w:family w:val="auto"/>
    <w:pitch w:val="default"/>
    <w:sig w:usb0="00000000" w:usb1="10000000" w:usb2="00000000" w:usb3="00000000" w:csb0="00000001" w:csb1="00000000"/>
  </w:font>
  <w:font w:name="Courier">
    <w:altName w:val="DejaVu Math TeX Gyre"/>
    <w:panose1 w:val="02000500000000000000"/>
    <w:charset w:val="00"/>
    <w:family w:val="auto"/>
    <w:pitch w:val="default"/>
    <w:sig w:usb0="00000000" w:usb1="00000000" w:usb2="00000000" w:usb3="00000000" w:csb0="00000001" w:csb1="00000000"/>
  </w:font>
  <w:font w:name="DejaVu Math TeX Gyre">
    <w:panose1 w:val="02000503000000000000"/>
    <w:charset w:val="00"/>
    <w:family w:val="auto"/>
    <w:pitch w:val="default"/>
    <w:sig w:usb0="A10000EF" w:usb1="4A00F9EE" w:usb2="02000008" w:usb3="00000000" w:csb0="60000193" w:csb1="0DD40000"/>
  </w:font>
  <w:font w:name="鸿蒙黑体">
    <w:panose1 w:val="00000500000000000000"/>
    <w:charset w:val="86"/>
    <w:family w:val="auto"/>
    <w:pitch w:val="default"/>
    <w:sig w:usb0="A00002BF" w:usb1="18EF7CFA" w:usb2="00000016" w:usb3="00000000" w:csb0="00040001" w:csb1="00000000"/>
  </w:font>
  <w:font w:name="HMOS Color Emoji">
    <w:panose1 w:val="02000609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23DF5E">
    <w:pPr>
      <w:pStyle w:val="24"/>
      <w:jc w:val="center"/>
    </w:pPr>
    <w:r>
      <w:t xml:space="preserve">第 </w:t>
    </w:r>
    <w:r>
      <w:fldChar w:fldCharType="begin"/>
    </w:r>
    <w:r>
      <w:instrText xml:space="preserve">PAGE</w:instrText>
    </w:r>
    <w:r>
      <w:fldChar w:fldCharType="end"/>
    </w:r>
    <w:r>
      <w:t xml:space="preserve"> 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E"/>
    <w:multiLevelType w:val="singleLevel"/>
    <w:tmpl w:val="FFFFFF7E"/>
    <w:lvl w:ilvl="0" w:tentative="0">
      <w:start w:val="1"/>
      <w:numFmt w:val="decimal"/>
      <w:pStyle w:val="20"/>
      <w:lvlText w:val="%1."/>
      <w:lvlJc w:val="left"/>
      <w:pPr>
        <w:tabs>
          <w:tab w:val="left" w:pos="1080"/>
        </w:tabs>
        <w:ind w:left="1080" w:hanging="360"/>
      </w:pPr>
    </w:lvl>
  </w:abstractNum>
  <w:abstractNum w:abstractNumId="1">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2">
    <w:nsid w:val="FFFFFF82"/>
    <w:multiLevelType w:val="singleLevel"/>
    <w:tmpl w:val="FFFFFF82"/>
    <w:lvl w:ilvl="0" w:tentative="0">
      <w:start w:val="1"/>
      <w:numFmt w:val="bullet"/>
      <w:pStyle w:val="18"/>
      <w:lvlText w:val=""/>
      <w:lvlJc w:val="left"/>
      <w:pPr>
        <w:tabs>
          <w:tab w:val="left" w:pos="1080"/>
        </w:tabs>
        <w:ind w:left="1080" w:hanging="360"/>
      </w:pPr>
      <w:rPr>
        <w:rFonts w:hint="default" w:ascii="Symbol" w:hAnsi="Symbol"/>
      </w:rPr>
    </w:lvl>
  </w:abstractNum>
  <w:abstractNum w:abstractNumId="3">
    <w:nsid w:val="FFFFFF83"/>
    <w:multiLevelType w:val="singleLevel"/>
    <w:tmpl w:val="FFFFFF83"/>
    <w:lvl w:ilvl="0" w:tentative="0">
      <w:start w:val="1"/>
      <w:numFmt w:val="bullet"/>
      <w:pStyle w:val="23"/>
      <w:lvlText w:val=""/>
      <w:lvlJc w:val="left"/>
      <w:pPr>
        <w:tabs>
          <w:tab w:val="left" w:pos="720"/>
        </w:tabs>
        <w:ind w:left="720" w:hanging="360"/>
      </w:pPr>
      <w:rPr>
        <w:rFonts w:hint="default" w:ascii="Symbol" w:hAnsi="Symbol"/>
      </w:rPr>
    </w:lvl>
  </w:abstractNum>
  <w:abstractNum w:abstractNumId="4">
    <w:nsid w:val="FFFFFF88"/>
    <w:multiLevelType w:val="singleLevel"/>
    <w:tmpl w:val="FFFFFF88"/>
    <w:lvl w:ilvl="0" w:tentative="0">
      <w:start w:val="1"/>
      <w:numFmt w:val="decimal"/>
      <w:pStyle w:val="14"/>
      <w:lvlText w:val="%1."/>
      <w:lvlJc w:val="left"/>
      <w:pPr>
        <w:tabs>
          <w:tab w:val="left" w:pos="360"/>
        </w:tabs>
        <w:ind w:left="360" w:hanging="360"/>
      </w:pPr>
    </w:lvl>
  </w:abstractNum>
  <w:abstractNum w:abstractNumId="5">
    <w:nsid w:val="FFFFFF89"/>
    <w:multiLevelType w:val="singleLevel"/>
    <w:tmpl w:val="FFFFFF89"/>
    <w:lvl w:ilvl="0" w:tentative="0">
      <w:start w:val="1"/>
      <w:numFmt w:val="bullet"/>
      <w:pStyle w:val="16"/>
      <w:lvlText w:val=""/>
      <w:lvlJc w:val="left"/>
      <w:pPr>
        <w:tabs>
          <w:tab w:val="left" w:pos="360"/>
        </w:tabs>
        <w:ind w:left="360" w:hanging="360"/>
      </w:pPr>
      <w:rPr>
        <w:rFonts w:hint="default" w:ascii="Symbol" w:hAnsi="Symbol"/>
      </w:rPr>
    </w:lvl>
  </w:abstractNum>
  <w:num w:numId="1">
    <w:abstractNumId w:val="1"/>
  </w:num>
  <w:num w:numId="2">
    <w:abstractNumId w:val="4"/>
  </w:num>
  <w:num w:numId="3">
    <w:abstractNumId w:val="5"/>
  </w:num>
  <w:num w:numId="4">
    <w:abstractNumId w:val="2"/>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characterSpacingControl w:val="doNotCompress"/>
  <w:footnotePr>
    <w:footnote w:id="0"/>
    <w:footnote w:id="1"/>
  </w:footnotePr>
  <w:endnotePr>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 w:val="6DFDFBDA"/>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ja-JP"/>
  <w:clrSchemeMapping w:bg1="light1" w:t1="dark1" w:bg2="light2" w:t2="dark2" w:accent1="accent1" w:accent2="accent2" w:accent3="accent3" w:accent4="accent4" w:accent5="accent5" w:accent6="accent6" w:hyperlink="hyperlink" w:followedHyperlink="followedHyperlink"/>
  <w14:defaultImageDpi w14:val="300"/>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semiHidden="0" w:name="macro"/>
    <w:lsdException w:uiPriority="99" w:name="toa heading"/>
    <w:lsdException w:uiPriority="99" w:semiHidden="0" w:name="List"/>
    <w:lsdException w:uiPriority="99" w:semiHidden="0" w:name="List Bullet"/>
    <w:lsdException w:uiPriority="99" w:semiHidden="0" w:name="List Number"/>
    <w:lsdException w:uiPriority="99" w:semiHidden="0" w:name="List 2"/>
    <w:lsdException w:uiPriority="99" w:semiHidden="0" w:name="List 3"/>
    <w:lsdException w:uiPriority="99" w:name="List 4"/>
    <w:lsdException w:uiPriority="99" w:name="List 5"/>
    <w:lsdException w:uiPriority="99" w:semiHidden="0" w:name="List Bullet 2"/>
    <w:lsdException w:uiPriority="99" w:semiHidden="0" w:name="List Bullet 3"/>
    <w:lsdException w:uiPriority="99" w:name="List Bullet 4"/>
    <w:lsdException w:uiPriority="99" w:name="List Bullet 5"/>
    <w:lsdException w:uiPriority="99" w:semiHidden="0" w:name="List Number 2"/>
    <w:lsdException w:uiPriority="99" w:semiHidden="0"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semiHidden="0" w:name="Body Text"/>
    <w:lsdException w:uiPriority="99" w:name="Body Text Indent"/>
    <w:lsdException w:uiPriority="99" w:semiHidden="0" w:name="List Continue"/>
    <w:lsdException w:uiPriority="99" w:semiHidden="0" w:name="List Continue 2"/>
    <w:lsdException w:uiPriority="99" w:semiHidden="0"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semiHidden="0" w:name="Body Text 2"/>
    <w:lsdException w:uiPriority="99" w:semiHidden="0"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20" w:line="276" w:lineRule="auto"/>
    </w:pPr>
    <w:rPr>
      <w:rFonts w:ascii="SimSun" w:hAnsi="SimSun" w:eastAsia="SimSun" w:cs="SimSun"/>
      <w:color w:val="000000"/>
      <w:sz w:val="24"/>
      <w:szCs w:val="22"/>
      <w:lang w:val="en-US" w:eastAsia="en-US" w:bidi="ar-SA"/>
    </w:rPr>
  </w:style>
  <w:style w:type="paragraph" w:styleId="3">
    <w:name w:val="heading 1"/>
    <w:basedOn w:val="1"/>
    <w:next w:val="1"/>
    <w:link w:val="138"/>
    <w:qFormat/>
    <w:uiPriority w:val="9"/>
    <w:pPr>
      <w:keepNext/>
      <w:keepLines/>
      <w:spacing w:before="240" w:after="240"/>
      <w:outlineLvl w:val="0"/>
    </w:pPr>
    <w:rPr>
      <w:rFonts w:hAnsi="SimHei" w:eastAsia="SimHei" w:cs="SimHei" w:asciiTheme="majorHAnsi"/>
      <w:b/>
      <w:bCs/>
      <w:color w:val="000000"/>
      <w:sz w:val="32"/>
      <w:szCs w:val="28"/>
    </w:rPr>
  </w:style>
  <w:style w:type="paragraph" w:styleId="4">
    <w:name w:val="heading 2"/>
    <w:basedOn w:val="1"/>
    <w:next w:val="1"/>
    <w:link w:val="139"/>
    <w:unhideWhenUsed/>
    <w:qFormat/>
    <w:uiPriority w:val="9"/>
    <w:pPr>
      <w:keepNext/>
      <w:keepLines/>
      <w:spacing w:before="180" w:after="180"/>
      <w:outlineLvl w:val="1"/>
    </w:pPr>
    <w:rPr>
      <w:rFonts w:hAnsi="SimHei" w:eastAsia="SimHei" w:cs="SimHei" w:asciiTheme="majorHAnsi"/>
      <w:b/>
      <w:bCs/>
      <w:color w:val="000000"/>
      <w:sz w:val="28"/>
      <w:szCs w:val="26"/>
    </w:rPr>
  </w:style>
  <w:style w:type="paragraph" w:styleId="5">
    <w:name w:val="heading 3"/>
    <w:basedOn w:val="1"/>
    <w:next w:val="1"/>
    <w:link w:val="140"/>
    <w:unhideWhenUsed/>
    <w:qFormat/>
    <w:uiPriority w:val="9"/>
    <w:pPr>
      <w:keepNext/>
      <w:keepLines/>
      <w:spacing w:before="180" w:after="120"/>
      <w:outlineLvl w:val="2"/>
    </w:pPr>
    <w:rPr>
      <w:rFonts w:hAnsi="SimHei" w:eastAsia="SimHei" w:cs="SimHei" w:asciiTheme="majorHAnsi"/>
      <w:b/>
      <w:bCs/>
      <w:color w:val="000000"/>
      <w:sz w:val="26"/>
    </w:rPr>
  </w:style>
  <w:style w:type="paragraph" w:styleId="6">
    <w:name w:val="heading 4"/>
    <w:basedOn w:val="1"/>
    <w:next w:val="1"/>
    <w:link w:val="150"/>
    <w:semiHidden/>
    <w:unhideWhenUsed/>
    <w:qFormat/>
    <w:uiPriority w:val="9"/>
    <w:pPr>
      <w:keepNext/>
      <w:keepLines/>
      <w:spacing w:before="120" w:after="120"/>
      <w:outlineLvl w:val="3"/>
    </w:pPr>
    <w:rPr>
      <w:rFonts w:hAnsi="SimHei" w:eastAsia="SimHei" w:cs="SimHei" w:asciiTheme="majorHAnsi"/>
      <w:b/>
      <w:bCs/>
      <w:i/>
      <w:iCs/>
      <w:color w:val="000000"/>
      <w:sz w:val="24"/>
    </w:rPr>
  </w:style>
  <w:style w:type="paragraph" w:styleId="7">
    <w:name w:val="heading 5"/>
    <w:basedOn w:val="1"/>
    <w:next w:val="1"/>
    <w:link w:val="151"/>
    <w:semiHidden/>
    <w:unhideWhenUsed/>
    <w:qFormat/>
    <w:uiPriority w:val="9"/>
    <w:pPr>
      <w:keepNext/>
      <w:keepLines/>
      <w:spacing w:before="120" w:after="60"/>
      <w:outlineLvl w:val="4"/>
    </w:pPr>
    <w:rPr>
      <w:rFonts w:hAnsi="SimHei" w:eastAsia="SimHei" w:cs="SimHei" w:asciiTheme="majorHAnsi"/>
      <w:b/>
      <w:color w:val="000000"/>
      <w:sz w:val="22"/>
    </w:rPr>
  </w:style>
  <w:style w:type="paragraph" w:styleId="8">
    <w:name w:val="heading 6"/>
    <w:basedOn w:val="1"/>
    <w:next w:val="1"/>
    <w:link w:val="152"/>
    <w:semiHidden/>
    <w:unhideWhenUsed/>
    <w:qFormat/>
    <w:uiPriority w:val="9"/>
    <w:pPr>
      <w:keepNext/>
      <w:keepLines/>
      <w:spacing w:before="120" w:after="60"/>
      <w:outlineLvl w:val="5"/>
    </w:pPr>
    <w:rPr>
      <w:rFonts w:hAnsi="SimHei" w:eastAsia="SimHei" w:cs="SimHei" w:asciiTheme="majorHAnsi"/>
      <w:b/>
      <w:i/>
      <w:iCs/>
      <w:color w:val="000000"/>
      <w:sz w:val="20"/>
    </w:rPr>
  </w:style>
  <w:style w:type="paragraph" w:styleId="9">
    <w:name w:val="heading 7"/>
    <w:basedOn w:val="1"/>
    <w:next w:val="1"/>
    <w:link w:val="153"/>
    <w:semiHidden/>
    <w:unhideWhenUsed/>
    <w:qFormat/>
    <w:uiPriority w:val="9"/>
    <w:pPr>
      <w:keepNext/>
      <w:keepLines/>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10">
    <w:name w:val="heading 8"/>
    <w:basedOn w:val="1"/>
    <w:next w:val="1"/>
    <w:link w:val="154"/>
    <w:semiHidden/>
    <w:unhideWhenUsed/>
    <w:qFormat/>
    <w:uiPriority w:val="9"/>
    <w:pPr>
      <w:keepNext/>
      <w:keepLines/>
      <w:spacing w:before="200" w:after="0"/>
      <w:outlineLvl w:val="7"/>
    </w:pPr>
    <w:rPr>
      <w:rFonts w:asciiTheme="majorHAnsi" w:hAnsiTheme="majorHAnsi" w:eastAsiaTheme="majorEastAsia" w:cstheme="majorBidi"/>
      <w:color w:val="4F81BD" w:themeColor="accent1"/>
      <w:sz w:val="20"/>
      <w:szCs w:val="20"/>
      <w14:textFill>
        <w14:solidFill>
          <w14:schemeClr w14:val="accent1"/>
        </w14:solidFill>
      </w14:textFill>
    </w:rPr>
  </w:style>
  <w:style w:type="paragraph" w:styleId="11">
    <w:name w:val="heading 9"/>
    <w:basedOn w:val="1"/>
    <w:next w:val="1"/>
    <w:link w:val="155"/>
    <w:semiHidden/>
    <w:unhideWhenUsed/>
    <w:qFormat/>
    <w:uiPriority w:val="9"/>
    <w:pPr>
      <w:keepNext/>
      <w:keepLines/>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132">
    <w:name w:val="Default Paragraph Font"/>
    <w:semiHidden/>
    <w:unhideWhenUsed/>
    <w:qFormat/>
    <w:uiPriority w:val="1"/>
  </w:style>
  <w:style w:type="table" w:default="1" w:styleId="32">
    <w:name w:val="Normal Table"/>
    <w:semiHidden/>
    <w:unhideWhenUsed/>
    <w:qFormat/>
    <w:uiPriority w:val="99"/>
    <w:tblPr>
      <w:tblCellMar>
        <w:top w:w="0" w:type="dxa"/>
        <w:left w:w="108" w:type="dxa"/>
        <w:bottom w:w="0" w:type="dxa"/>
        <w:right w:w="108" w:type="dxa"/>
      </w:tblCellMar>
    </w:tblPr>
  </w:style>
  <w:style w:type="paragraph" w:styleId="2">
    <w:name w:val="macro"/>
    <w:link w:val="147"/>
    <w:unhideWhenUsed/>
    <w:uiPriority w:val="99"/>
    <w:pPr>
      <w:tabs>
        <w:tab w:val="left" w:pos="576"/>
        <w:tab w:val="left" w:pos="1152"/>
        <w:tab w:val="left" w:pos="1728"/>
        <w:tab w:val="left" w:pos="2304"/>
        <w:tab w:val="left" w:pos="2880"/>
        <w:tab w:val="left" w:pos="3456"/>
        <w:tab w:val="left" w:pos="4032"/>
      </w:tabs>
      <w:spacing w:after="200" w:line="276" w:lineRule="auto"/>
    </w:pPr>
    <w:rPr>
      <w:rFonts w:ascii="Courier" w:hAnsi="Courier" w:eastAsiaTheme="minorEastAsia" w:cstheme="minorBidi"/>
      <w:sz w:val="20"/>
      <w:szCs w:val="20"/>
      <w:lang w:val="en-US" w:eastAsia="en-US" w:bidi="ar-SA"/>
    </w:rPr>
  </w:style>
  <w:style w:type="paragraph" w:styleId="12">
    <w:name w:val="List 3"/>
    <w:basedOn w:val="1"/>
    <w:unhideWhenUsed/>
    <w:uiPriority w:val="99"/>
    <w:pPr>
      <w:ind w:left="1080" w:hanging="360"/>
      <w:contextualSpacing/>
    </w:pPr>
  </w:style>
  <w:style w:type="paragraph" w:styleId="13">
    <w:name w:val="List Number 2"/>
    <w:basedOn w:val="1"/>
    <w:unhideWhenUsed/>
    <w:uiPriority w:val="99"/>
    <w:pPr>
      <w:numPr>
        <w:ilvl w:val="0"/>
        <w:numId w:val="1"/>
      </w:numPr>
      <w:contextualSpacing/>
    </w:pPr>
  </w:style>
  <w:style w:type="paragraph" w:styleId="14">
    <w:name w:val="List Number"/>
    <w:basedOn w:val="1"/>
    <w:unhideWhenUsed/>
    <w:uiPriority w:val="99"/>
    <w:pPr>
      <w:numPr>
        <w:ilvl w:val="0"/>
        <w:numId w:val="2"/>
      </w:numPr>
      <w:contextualSpacing/>
    </w:pPr>
  </w:style>
  <w:style w:type="paragraph" w:styleId="15">
    <w:name w:val="caption"/>
    <w:basedOn w:val="1"/>
    <w:next w:val="1"/>
    <w:semiHidden/>
    <w:unhideWhenUsed/>
    <w:qFormat/>
    <w:uiPriority w:val="35"/>
    <w:pPr>
      <w:spacing w:line="240" w:lineRule="auto"/>
    </w:pPr>
    <w:rPr>
      <w:b/>
      <w:bCs/>
      <w:color w:val="4F81BD" w:themeColor="accent1"/>
      <w:sz w:val="18"/>
      <w:szCs w:val="18"/>
      <w14:textFill>
        <w14:solidFill>
          <w14:schemeClr w14:val="accent1"/>
        </w14:solidFill>
      </w14:textFill>
    </w:rPr>
  </w:style>
  <w:style w:type="paragraph" w:styleId="16">
    <w:name w:val="List Bullet"/>
    <w:basedOn w:val="1"/>
    <w:unhideWhenUsed/>
    <w:uiPriority w:val="99"/>
    <w:pPr>
      <w:numPr>
        <w:ilvl w:val="0"/>
        <w:numId w:val="3"/>
      </w:numPr>
      <w:contextualSpacing/>
    </w:pPr>
  </w:style>
  <w:style w:type="paragraph" w:styleId="17">
    <w:name w:val="Body Text 3"/>
    <w:basedOn w:val="1"/>
    <w:link w:val="146"/>
    <w:unhideWhenUsed/>
    <w:uiPriority w:val="99"/>
    <w:pPr>
      <w:spacing w:after="120"/>
    </w:pPr>
    <w:rPr>
      <w:sz w:val="16"/>
      <w:szCs w:val="16"/>
    </w:rPr>
  </w:style>
  <w:style w:type="paragraph" w:styleId="18">
    <w:name w:val="List Bullet 3"/>
    <w:basedOn w:val="1"/>
    <w:unhideWhenUsed/>
    <w:uiPriority w:val="99"/>
    <w:pPr>
      <w:numPr>
        <w:ilvl w:val="0"/>
        <w:numId w:val="4"/>
      </w:numPr>
      <w:contextualSpacing/>
    </w:pPr>
  </w:style>
  <w:style w:type="paragraph" w:styleId="19">
    <w:name w:val="Body Text"/>
    <w:basedOn w:val="1"/>
    <w:link w:val="144"/>
    <w:unhideWhenUsed/>
    <w:uiPriority w:val="99"/>
    <w:pPr>
      <w:spacing w:after="120"/>
    </w:pPr>
  </w:style>
  <w:style w:type="paragraph" w:styleId="20">
    <w:name w:val="List Number 3"/>
    <w:basedOn w:val="1"/>
    <w:unhideWhenUsed/>
    <w:uiPriority w:val="99"/>
    <w:pPr>
      <w:numPr>
        <w:ilvl w:val="0"/>
        <w:numId w:val="5"/>
      </w:numPr>
      <w:contextualSpacing/>
    </w:pPr>
  </w:style>
  <w:style w:type="paragraph" w:styleId="21">
    <w:name w:val="List 2"/>
    <w:basedOn w:val="1"/>
    <w:unhideWhenUsed/>
    <w:uiPriority w:val="99"/>
    <w:pPr>
      <w:ind w:left="720" w:hanging="360"/>
      <w:contextualSpacing/>
    </w:pPr>
  </w:style>
  <w:style w:type="paragraph" w:styleId="22">
    <w:name w:val="List Continue"/>
    <w:basedOn w:val="1"/>
    <w:unhideWhenUsed/>
    <w:uiPriority w:val="99"/>
    <w:pPr>
      <w:spacing w:after="120"/>
      <w:ind w:left="360"/>
      <w:contextualSpacing/>
    </w:pPr>
  </w:style>
  <w:style w:type="paragraph" w:styleId="23">
    <w:name w:val="List Bullet 2"/>
    <w:basedOn w:val="1"/>
    <w:unhideWhenUsed/>
    <w:uiPriority w:val="99"/>
    <w:pPr>
      <w:numPr>
        <w:ilvl w:val="0"/>
        <w:numId w:val="6"/>
      </w:numPr>
      <w:contextualSpacing/>
    </w:pPr>
  </w:style>
  <w:style w:type="paragraph" w:styleId="24">
    <w:name w:val="footer"/>
    <w:basedOn w:val="1"/>
    <w:link w:val="136"/>
    <w:unhideWhenUsed/>
    <w:qFormat/>
    <w:uiPriority w:val="99"/>
    <w:pPr>
      <w:tabs>
        <w:tab w:val="center" w:pos="4680"/>
        <w:tab w:val="right" w:pos="9360"/>
      </w:tabs>
      <w:spacing w:after="0" w:line="240" w:lineRule="auto"/>
    </w:pPr>
  </w:style>
  <w:style w:type="paragraph" w:styleId="25">
    <w:name w:val="header"/>
    <w:basedOn w:val="1"/>
    <w:link w:val="135"/>
    <w:unhideWhenUsed/>
    <w:qFormat/>
    <w:uiPriority w:val="99"/>
    <w:pPr>
      <w:tabs>
        <w:tab w:val="center" w:pos="4680"/>
        <w:tab w:val="right" w:pos="9360"/>
      </w:tabs>
      <w:spacing w:after="0" w:line="240" w:lineRule="auto"/>
    </w:pPr>
  </w:style>
  <w:style w:type="paragraph" w:styleId="26">
    <w:name w:val="Subtitle"/>
    <w:basedOn w:val="1"/>
    <w:next w:val="1"/>
    <w:link w:val="142"/>
    <w:qFormat/>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27">
    <w:name w:val="List"/>
    <w:basedOn w:val="1"/>
    <w:unhideWhenUsed/>
    <w:uiPriority w:val="99"/>
    <w:pPr>
      <w:ind w:left="360" w:hanging="360"/>
      <w:contextualSpacing/>
    </w:pPr>
  </w:style>
  <w:style w:type="paragraph" w:styleId="28">
    <w:name w:val="Body Text 2"/>
    <w:basedOn w:val="1"/>
    <w:link w:val="145"/>
    <w:unhideWhenUsed/>
    <w:uiPriority w:val="99"/>
    <w:pPr>
      <w:spacing w:after="120" w:line="480" w:lineRule="auto"/>
    </w:pPr>
  </w:style>
  <w:style w:type="paragraph" w:styleId="29">
    <w:name w:val="List Continue 2"/>
    <w:basedOn w:val="1"/>
    <w:unhideWhenUsed/>
    <w:uiPriority w:val="99"/>
    <w:pPr>
      <w:spacing w:after="120"/>
      <w:ind w:left="720"/>
      <w:contextualSpacing/>
    </w:pPr>
  </w:style>
  <w:style w:type="paragraph" w:styleId="30">
    <w:name w:val="List Continue 3"/>
    <w:basedOn w:val="1"/>
    <w:unhideWhenUsed/>
    <w:uiPriority w:val="99"/>
    <w:pPr>
      <w:spacing w:after="120"/>
      <w:ind w:left="1080"/>
      <w:contextualSpacing/>
    </w:pPr>
  </w:style>
  <w:style w:type="paragraph" w:styleId="31">
    <w:name w:val="Title"/>
    <w:basedOn w:val="1"/>
    <w:next w:val="1"/>
    <w:link w:val="141"/>
    <w:qFormat/>
    <w:uiPriority w:val="10"/>
    <w:pPr>
      <w:pBdr>
        <w:bottom w:val="single" w:color="4F81BD" w:themeColor="accent1" w:sz="8" w:space="4"/>
      </w:pBdr>
      <w:spacing w:before="240" w:after="120" w:line="240" w:lineRule="auto"/>
      <w:contextualSpacing/>
      <w:jc w:val="center"/>
    </w:pPr>
    <w:rPr>
      <w:rFonts w:hAnsi="SimHei" w:eastAsia="SimHei" w:cs="SimHei" w:asciiTheme="majorHAnsi"/>
      <w:b/>
      <w:color w:val="000000"/>
      <w:spacing w:val="5"/>
      <w:kern w:val="28"/>
      <w:sz w:val="56"/>
      <w:szCs w:val="52"/>
    </w:rPr>
  </w:style>
  <w:style w:type="table" w:styleId="33">
    <w:name w:val="Table Grid"/>
    <w:basedOn w:val="32"/>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34">
    <w:name w:val="Light Shading"/>
    <w:basedOn w:val="32"/>
    <w:uiPriority w:val="60"/>
    <w:pPr>
      <w:spacing w:after="0" w:line="240" w:lineRule="auto"/>
    </w:pPr>
    <w:rPr>
      <w:color w:val="000000" w:themeColor="text1" w:themeShade="BF"/>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left w:val="nil"/>
          <w:right w:val="nil"/>
          <w:insideH w:val="nil"/>
          <w:insideV w:val="nil"/>
        </w:tcBorders>
        <w:shd w:val="clear" w:color="auto" w:fill="BFBFBF" w:themeFill="text1" w:themeFillTint="3F"/>
      </w:tcPr>
    </w:tblStylePr>
  </w:style>
  <w:style w:type="table" w:styleId="35">
    <w:name w:val="Light Shading Accent 1"/>
    <w:basedOn w:val="32"/>
    <w:uiPriority w:val="60"/>
    <w:pPr>
      <w:spacing w:after="0" w:line="240" w:lineRule="auto"/>
    </w:pPr>
    <w:rPr>
      <w:color w:val="376092" w:themeColor="accent1" w:themeShade="BF"/>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36">
    <w:name w:val="Light Shading Accent 2"/>
    <w:basedOn w:val="32"/>
    <w:uiPriority w:val="60"/>
    <w:pPr>
      <w:spacing w:after="0" w:line="240" w:lineRule="auto"/>
    </w:pPr>
    <w:rPr>
      <w:color w:val="953735" w:themeColor="accent2" w:themeShade="BF"/>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left w:val="nil"/>
          <w:right w:val="nil"/>
          <w:insideH w:val="nil"/>
          <w:insideV w:val="nil"/>
        </w:tcBorders>
        <w:shd w:val="clear" w:color="auto" w:fill="EFD3D3" w:themeFill="accent2" w:themeFillTint="3F"/>
      </w:tcPr>
    </w:tblStylePr>
  </w:style>
  <w:style w:type="table" w:styleId="37">
    <w:name w:val="Light Shading Accent 3"/>
    <w:basedOn w:val="32"/>
    <w:uiPriority w:val="60"/>
    <w:pPr>
      <w:spacing w:after="0" w:line="240" w:lineRule="auto"/>
    </w:pPr>
    <w:rPr>
      <w:color w:val="77933C" w:themeColor="accent3" w:themeShade="BF"/>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8">
    <w:name w:val="Light Shading Accent 4"/>
    <w:basedOn w:val="32"/>
    <w:uiPriority w:val="60"/>
    <w:pPr>
      <w:spacing w:after="0" w:line="240" w:lineRule="auto"/>
    </w:pPr>
    <w:rPr>
      <w:color w:val="604A7B" w:themeColor="accent4" w:themeShade="BF"/>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39">
    <w:name w:val="Light Shading Accent 5"/>
    <w:basedOn w:val="32"/>
    <w:uiPriority w:val="60"/>
    <w:pPr>
      <w:spacing w:after="0" w:line="240" w:lineRule="auto"/>
    </w:pPr>
    <w:rPr>
      <w:color w:val="31859C" w:themeColor="accent5" w:themeShade="BF"/>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left w:val="nil"/>
          <w:right w:val="nil"/>
          <w:insideH w:val="nil"/>
          <w:insideV w:val="nil"/>
        </w:tcBorders>
        <w:shd w:val="clear" w:color="auto" w:fill="D2EAF0" w:themeFill="accent5" w:themeFillTint="3F"/>
      </w:tcPr>
    </w:tblStylePr>
  </w:style>
  <w:style w:type="table" w:styleId="40">
    <w:name w:val="Light Shading Accent 6"/>
    <w:basedOn w:val="32"/>
    <w:uiPriority w:val="60"/>
    <w:pPr>
      <w:spacing w:after="0" w:line="240" w:lineRule="auto"/>
    </w:pPr>
    <w:rPr>
      <w:color w:val="E46C0A" w:themeColor="accent6" w:themeShade="BF"/>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left w:val="nil"/>
          <w:right w:val="nil"/>
          <w:insideH w:val="nil"/>
          <w:insideV w:val="nil"/>
        </w:tcBorders>
        <w:shd w:val="clear" w:color="auto" w:fill="FDE5D1" w:themeFill="accent6" w:themeFillTint="3F"/>
      </w:tcPr>
    </w:tblStylePr>
  </w:style>
  <w:style w:type="table" w:styleId="41">
    <w:name w:val="Light List"/>
    <w:basedOn w:val="32"/>
    <w:uiPriority w:val="61"/>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42">
    <w:name w:val="Light List Accent 1"/>
    <w:basedOn w:val="32"/>
    <w:uiPriority w:val="61"/>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43">
    <w:name w:val="Light List Accent 2"/>
    <w:basedOn w:val="32"/>
    <w:uiPriority w:val="61"/>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44">
    <w:name w:val="Light List Accent 3"/>
    <w:basedOn w:val="32"/>
    <w:uiPriority w:val="61"/>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45">
    <w:name w:val="Light List Accent 4"/>
    <w:basedOn w:val="32"/>
    <w:uiPriority w:val="61"/>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46">
    <w:name w:val="Light List Accent 5"/>
    <w:basedOn w:val="32"/>
    <w:uiPriority w:val="61"/>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47">
    <w:name w:val="Light List Accent 6"/>
    <w:basedOn w:val="32"/>
    <w:uiPriority w:val="61"/>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48">
    <w:name w:val="Light Grid"/>
    <w:basedOn w:val="32"/>
    <w:uiPriority w:val="62"/>
    <w:pPr>
      <w:spacing w:after="0" w:line="240" w:lineRule="auto"/>
    </w:p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BFBFBF"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shd w:val="clear" w:color="auto" w:fill="BFBFBF"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sz="8" w:space="0"/>
        </w:tcBorders>
      </w:tcPr>
    </w:tblStylePr>
  </w:style>
  <w:style w:type="table" w:styleId="49">
    <w:name w:val="Light Grid Accent 1"/>
    <w:basedOn w:val="32"/>
    <w:uiPriority w:val="62"/>
    <w:pPr>
      <w:spacing w:after="0" w:line="240" w:lineRule="auto"/>
    </w:p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sz="8" w:space="0"/>
        </w:tcBorders>
      </w:tcPr>
    </w:tblStylePr>
  </w:style>
  <w:style w:type="table" w:styleId="50">
    <w:name w:val="Light Grid Accent 2"/>
    <w:basedOn w:val="32"/>
    <w:uiPriority w:val="62"/>
    <w:pPr>
      <w:spacing w:after="0" w:line="240" w:lineRule="auto"/>
    </w:p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3"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shd w:val="clear" w:color="auto" w:fill="EFD3D3"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sz="8" w:space="0"/>
        </w:tcBorders>
      </w:tcPr>
    </w:tblStylePr>
  </w:style>
  <w:style w:type="table" w:styleId="51">
    <w:name w:val="Light Grid Accent 3"/>
    <w:basedOn w:val="32"/>
    <w:uiPriority w:val="62"/>
    <w:pPr>
      <w:spacing w:after="0" w:line="240" w:lineRule="auto"/>
    </w:p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sz="8" w:space="0"/>
        </w:tcBorders>
      </w:tcPr>
    </w:tblStylePr>
  </w:style>
  <w:style w:type="table" w:styleId="52">
    <w:name w:val="Light Grid Accent 4"/>
    <w:basedOn w:val="32"/>
    <w:uiPriority w:val="62"/>
    <w:pPr>
      <w:spacing w:after="0" w:line="240" w:lineRule="auto"/>
    </w:p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sz="8" w:space="0"/>
        </w:tcBorders>
      </w:tcPr>
    </w:tblStylePr>
  </w:style>
  <w:style w:type="table" w:styleId="53">
    <w:name w:val="Light Grid Accent 5"/>
    <w:basedOn w:val="32"/>
    <w:uiPriority w:val="62"/>
    <w:pPr>
      <w:spacing w:after="0" w:line="240" w:lineRule="auto"/>
    </w:p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0"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shd w:val="clear" w:color="auto" w:fill="D2EAF0"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sz="8" w:space="0"/>
        </w:tcBorders>
      </w:tcPr>
    </w:tblStylePr>
  </w:style>
  <w:style w:type="table" w:styleId="54">
    <w:name w:val="Light Grid Accent 6"/>
    <w:basedOn w:val="32"/>
    <w:uiPriority w:val="62"/>
    <w:pPr>
      <w:spacing w:after="0" w:line="240" w:lineRule="auto"/>
    </w:p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5D1"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shd w:val="clear" w:color="auto" w:fill="FDE5D1"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sz="8" w:space="0"/>
        </w:tcBorders>
      </w:tcPr>
    </w:tblStylePr>
  </w:style>
  <w:style w:type="table" w:styleId="55">
    <w:name w:val="Medium Shading 1"/>
    <w:basedOn w:val="32"/>
    <w:uiPriority w:val="63"/>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3F3F3F" w:themeColor="text1" w:themeTint="BF" w:sz="6" w:space="0"/>
          <w:left w:val="single" w:color="3F3F3F" w:themeColor="text1" w:themeTint="BF" w:sz="8" w:space="0"/>
          <w:bottom w:val="single" w:color="3F3F3F" w:themeColor="text1" w:themeTint="BF" w:sz="8" w:space="0"/>
          <w:right w:val="single" w:color="3F3F3F"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BFBFBF" w:themeFill="text1" w:themeFillTint="3F"/>
      </w:tcPr>
    </w:tblStylePr>
    <w:tblStylePr w:type="band1Horz">
      <w:tblPr/>
      <w:tcPr>
        <w:tcBorders>
          <w:insideH w:val="nil"/>
          <w:insideV w:val="nil"/>
        </w:tcBorders>
        <w:shd w:val="clear" w:color="auto" w:fill="BFBFBF" w:themeFill="text1" w:themeFillTint="3F"/>
      </w:tcPr>
    </w:tblStylePr>
    <w:tblStylePr w:type="band2Horz">
      <w:tblPr/>
      <w:tcPr>
        <w:tcBorders>
          <w:insideH w:val="nil"/>
          <w:insideV w:val="nil"/>
        </w:tcBorders>
      </w:tcPr>
    </w:tblStylePr>
  </w:style>
  <w:style w:type="table" w:styleId="56">
    <w:name w:val="Medium Shading 1 Accent 1"/>
    <w:basedOn w:val="32"/>
    <w:uiPriority w:val="63"/>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57">
    <w:name w:val="Medium Shading 1 Accent 2"/>
    <w:basedOn w:val="32"/>
    <w:uiPriority w:val="63"/>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3" w:themeFill="accent2" w:themeFillTint="3F"/>
      </w:tcPr>
    </w:tblStylePr>
    <w:tblStylePr w:type="band1Horz">
      <w:tblPr/>
      <w:tcPr>
        <w:tcBorders>
          <w:insideH w:val="nil"/>
          <w:insideV w:val="nil"/>
        </w:tcBorders>
        <w:shd w:val="clear" w:color="auto" w:fill="EFD3D3" w:themeFill="accent2" w:themeFillTint="3F"/>
      </w:tcPr>
    </w:tblStylePr>
    <w:tblStylePr w:type="band2Horz">
      <w:tblPr/>
      <w:tcPr>
        <w:tcBorders>
          <w:insideH w:val="nil"/>
          <w:insideV w:val="nil"/>
        </w:tcBorders>
      </w:tcPr>
    </w:tblStylePr>
  </w:style>
  <w:style w:type="table" w:styleId="58">
    <w:name w:val="Medium Shading 1 Accent 3"/>
    <w:basedOn w:val="32"/>
    <w:uiPriority w:val="63"/>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4CC82" w:themeColor="accent3" w:themeTint="BF" w:sz="6" w:space="0"/>
          <w:left w:val="single" w:color="B4CC82" w:themeColor="accent3" w:themeTint="BF" w:sz="8" w:space="0"/>
          <w:bottom w:val="single" w:color="B4CC82" w:themeColor="accent3" w:themeTint="BF" w:sz="8" w:space="0"/>
          <w:right w:val="single" w:color="B4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59">
    <w:name w:val="Medium Shading 1 Accent 4"/>
    <w:basedOn w:val="32"/>
    <w:uiPriority w:val="63"/>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60">
    <w:name w:val="Medium Shading 1 Accent 5"/>
    <w:basedOn w:val="32"/>
    <w:uiPriority w:val="63"/>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0" w:themeFill="accent5" w:themeFillTint="3F"/>
      </w:tcPr>
    </w:tblStylePr>
    <w:tblStylePr w:type="band1Horz">
      <w:tblPr/>
      <w:tcPr>
        <w:tcBorders>
          <w:insideH w:val="nil"/>
          <w:insideV w:val="nil"/>
        </w:tcBorders>
        <w:shd w:val="clear" w:color="auto" w:fill="D2EAF0" w:themeFill="accent5" w:themeFillTint="3F"/>
      </w:tcPr>
    </w:tblStylePr>
    <w:tblStylePr w:type="band2Horz">
      <w:tblPr/>
      <w:tcPr>
        <w:tcBorders>
          <w:insideH w:val="nil"/>
          <w:insideV w:val="nil"/>
        </w:tcBorders>
      </w:tcPr>
    </w:tblStylePr>
  </w:style>
  <w:style w:type="table" w:styleId="61">
    <w:name w:val="Medium Shading 1 Accent 6"/>
    <w:basedOn w:val="32"/>
    <w:uiPriority w:val="63"/>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5D1" w:themeFill="accent6" w:themeFillTint="3F"/>
      </w:tcPr>
    </w:tblStylePr>
    <w:tblStylePr w:type="band1Horz">
      <w:tblPr/>
      <w:tcPr>
        <w:tcBorders>
          <w:insideH w:val="nil"/>
          <w:insideV w:val="nil"/>
        </w:tcBorders>
        <w:shd w:val="clear" w:color="auto" w:fill="FDE5D1" w:themeFill="accent6" w:themeFillTint="3F"/>
      </w:tcPr>
    </w:tblStylePr>
    <w:tblStylePr w:type="band2Horz">
      <w:tblPr/>
      <w:tcPr>
        <w:tcBorders>
          <w:insideH w:val="nil"/>
          <w:insideV w:val="nil"/>
        </w:tcBorders>
      </w:tcPr>
    </w:tblStylePr>
  </w:style>
  <w:style w:type="table" w:styleId="62">
    <w:name w:val="Medium Shading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3">
    <w:name w:val="Medium Shading 2 Accent 1"/>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4">
    <w:name w:val="Medium Shading 2 Accent 2"/>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5">
    <w:name w:val="Medium Shading 2 Accent 3"/>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6">
    <w:name w:val="Medium Shading 2 Accent 4"/>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7">
    <w:name w:val="Medium Shading 2 Accent 5"/>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8">
    <w:name w:val="Medium Shading 2 Accent 6"/>
    <w:basedOn w:val="32"/>
    <w:uiPriority w:val="64"/>
    <w:pPr>
      <w:spacing w:after="0" w:line="240" w:lineRule="auto"/>
    </w:pPr>
    <w:tblPr>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14:textFill>
          <w14:solidFill>
            <w14:schemeClr w14:val="bg1"/>
          </w14:solidFill>
        </w14:textFill>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14:textFill>
          <w14:solidFill>
            <w14:schemeClr w14:val="bg1"/>
          </w14:solidFill>
        </w14:textFill>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7D7D7" w:themeFill="background1" w:themeFillShade="D8"/>
      </w:tcPr>
    </w:tblStylePr>
    <w:tblStylePr w:type="band1Horz">
      <w:tblPr/>
      <w:tcPr>
        <w:shd w:val="clear" w:color="auto" w:fill="D7D7D7"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14:textFill>
          <w14:solidFill>
            <w14:schemeClr w14:val="bg1"/>
          </w14:solidFill>
        </w14:textFill>
      </w:rPr>
      <w:tblPr/>
      <w:tcPr>
        <w:tcBorders>
          <w:top w:val="single" w:color="auto" w:sz="18" w:space="0"/>
          <w:left w:val="nil"/>
          <w:bottom w:val="single" w:color="auto" w:sz="18" w:space="0"/>
          <w:right w:val="nil"/>
          <w:insideH w:val="nil"/>
          <w:insideV w:val="nil"/>
        </w:tcBorders>
      </w:tcPr>
    </w:tblStylePr>
  </w:style>
  <w:style w:type="table" w:styleId="69">
    <w:name w:val="Medium List 1"/>
    <w:basedOn w:val="32"/>
    <w:uiPriority w:val="65"/>
    <w:pPr>
      <w:spacing w:after="0" w:line="240" w:lineRule="auto"/>
    </w:pPr>
    <w:rPr>
      <w:color w:val="000000" w:themeColor="text1"/>
      <w14:textFill>
        <w14:solidFill>
          <w14:schemeClr w14:val="tx1"/>
        </w14:solidFill>
      </w14:textFill>
    </w:rPr>
    <w:tblPr>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14:textFill>
          <w14:solidFill>
            <w14:schemeClr w14:val="tx2"/>
          </w14:solidFill>
        </w14:textFill>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BFBFBF" w:themeFill="text1" w:themeFillTint="3F"/>
      </w:tcPr>
    </w:tblStylePr>
    <w:tblStylePr w:type="band1Horz">
      <w:tblPr/>
      <w:tcPr>
        <w:shd w:val="clear" w:color="auto" w:fill="BFBFBF" w:themeFill="text1" w:themeFillTint="3F"/>
      </w:tcPr>
    </w:tblStylePr>
  </w:style>
  <w:style w:type="table" w:styleId="70">
    <w:name w:val="Medium List 1 Accent 1"/>
    <w:basedOn w:val="32"/>
    <w:uiPriority w:val="65"/>
    <w:pPr>
      <w:spacing w:after="0" w:line="240" w:lineRule="auto"/>
    </w:pPr>
    <w:rPr>
      <w:color w:val="000000" w:themeColor="text1"/>
      <w14:textFill>
        <w14:solidFill>
          <w14:schemeClr w14:val="tx1"/>
        </w14:solidFill>
      </w14:textFill>
    </w:rPr>
    <w:tblPr>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14:textFill>
          <w14:solidFill>
            <w14:schemeClr w14:val="tx2"/>
          </w14:solidFill>
        </w14:textFill>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71">
    <w:name w:val="Medium List 1 Accent 2"/>
    <w:basedOn w:val="32"/>
    <w:uiPriority w:val="65"/>
    <w:pPr>
      <w:spacing w:after="0" w:line="240" w:lineRule="auto"/>
    </w:pPr>
    <w:rPr>
      <w:color w:val="000000" w:themeColor="text1"/>
      <w14:textFill>
        <w14:solidFill>
          <w14:schemeClr w14:val="tx1"/>
        </w14:solidFill>
      </w14:textFill>
    </w:rPr>
    <w:tblPr>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14:textFill>
          <w14:solidFill>
            <w14:schemeClr w14:val="tx2"/>
          </w14:solidFill>
        </w14:textFill>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3" w:themeFill="accent2" w:themeFillTint="3F"/>
      </w:tcPr>
    </w:tblStylePr>
    <w:tblStylePr w:type="band1Horz">
      <w:tblPr/>
      <w:tcPr>
        <w:shd w:val="clear" w:color="auto" w:fill="EFD3D3" w:themeFill="accent2" w:themeFillTint="3F"/>
      </w:tcPr>
    </w:tblStylePr>
  </w:style>
  <w:style w:type="table" w:styleId="72">
    <w:name w:val="Medium List 1 Accent 3"/>
    <w:basedOn w:val="32"/>
    <w:uiPriority w:val="65"/>
    <w:pPr>
      <w:spacing w:after="0" w:line="240" w:lineRule="auto"/>
    </w:pPr>
    <w:rPr>
      <w:color w:val="000000" w:themeColor="text1"/>
      <w14:textFill>
        <w14:solidFill>
          <w14:schemeClr w14:val="tx1"/>
        </w14:solidFill>
      </w14:textFill>
    </w:rPr>
    <w:tblPr>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14:textFill>
          <w14:solidFill>
            <w14:schemeClr w14:val="tx2"/>
          </w14:solidFill>
        </w14:textFill>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73">
    <w:name w:val="Medium List 1 Accent 4"/>
    <w:basedOn w:val="32"/>
    <w:uiPriority w:val="65"/>
    <w:pPr>
      <w:spacing w:after="0" w:line="240" w:lineRule="auto"/>
    </w:pPr>
    <w:rPr>
      <w:color w:val="000000" w:themeColor="text1"/>
      <w14:textFill>
        <w14:solidFill>
          <w14:schemeClr w14:val="tx1"/>
        </w14:solidFill>
      </w14:textFill>
    </w:rPr>
    <w:tblPr>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14:textFill>
          <w14:solidFill>
            <w14:schemeClr w14:val="tx2"/>
          </w14:solidFill>
        </w14:textFill>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74">
    <w:name w:val="Medium List 1 Accent 5"/>
    <w:basedOn w:val="32"/>
    <w:uiPriority w:val="65"/>
    <w:pPr>
      <w:spacing w:after="0" w:line="240" w:lineRule="auto"/>
    </w:pPr>
    <w:rPr>
      <w:color w:val="000000" w:themeColor="text1"/>
      <w14:textFill>
        <w14:solidFill>
          <w14:schemeClr w14:val="tx1"/>
        </w14:solidFill>
      </w14:textFill>
    </w:rPr>
    <w:tblPr>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14:textFill>
          <w14:solidFill>
            <w14:schemeClr w14:val="tx2"/>
          </w14:solidFill>
        </w14:textFill>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0" w:themeFill="accent5" w:themeFillTint="3F"/>
      </w:tcPr>
    </w:tblStylePr>
    <w:tblStylePr w:type="band1Horz">
      <w:tblPr/>
      <w:tcPr>
        <w:shd w:val="clear" w:color="auto" w:fill="D2EAF0" w:themeFill="accent5" w:themeFillTint="3F"/>
      </w:tcPr>
    </w:tblStylePr>
  </w:style>
  <w:style w:type="table" w:styleId="75">
    <w:name w:val="Medium List 1 Accent 6"/>
    <w:basedOn w:val="32"/>
    <w:uiPriority w:val="65"/>
    <w:pPr>
      <w:spacing w:after="0" w:line="240" w:lineRule="auto"/>
    </w:pPr>
    <w:rPr>
      <w:color w:val="000000" w:themeColor="text1"/>
      <w14:textFill>
        <w14:solidFill>
          <w14:schemeClr w14:val="tx1"/>
        </w14:solidFill>
      </w14:textFill>
    </w:rPr>
    <w:tblPr>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14:textFill>
          <w14:solidFill>
            <w14:schemeClr w14:val="tx2"/>
          </w14:solidFill>
        </w14:textFill>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5D1" w:themeFill="accent6" w:themeFillTint="3F"/>
      </w:tcPr>
    </w:tblStylePr>
    <w:tblStylePr w:type="band1Horz">
      <w:tblPr/>
      <w:tcPr>
        <w:shd w:val="clear" w:color="auto" w:fill="FDE5D1" w:themeFill="accent6" w:themeFillTint="3F"/>
      </w:tcPr>
    </w:tblStylePr>
  </w:style>
  <w:style w:type="table" w:styleId="76">
    <w:name w:val="Medium Lis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FBFBF" w:themeFill="text1" w:themeFillTint="3F"/>
      </w:tcPr>
    </w:tblStylePr>
    <w:tblStylePr w:type="band1Horz">
      <w:tblPr/>
      <w:tcPr>
        <w:tcBorders>
          <w:top w:val="nil"/>
          <w:bottom w:val="nil"/>
          <w:insideH w:val="nil"/>
          <w:insideV w:val="nil"/>
        </w:tcBorders>
        <w:shd w:val="clear" w:color="auto" w:fill="BFBFBF"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77">
    <w:name w:val="Medium List 2 Accent 1"/>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78">
    <w:name w:val="Medium List 2 Accent 2"/>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3" w:themeFill="accent2" w:themeFillTint="3F"/>
      </w:tcPr>
    </w:tblStylePr>
    <w:tblStylePr w:type="band1Horz">
      <w:tblPr/>
      <w:tcPr>
        <w:tcBorders>
          <w:top w:val="nil"/>
          <w:bottom w:val="nil"/>
          <w:insideH w:val="nil"/>
          <w:insideV w:val="nil"/>
        </w:tcBorders>
        <w:shd w:val="clear" w:color="auto" w:fill="EFD3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79">
    <w:name w:val="Medium List 2 Accent 3"/>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80">
    <w:name w:val="Medium List 2 Accent 4"/>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81">
    <w:name w:val="Medium List 2 Accent 5"/>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0" w:themeFill="accent5" w:themeFillTint="3F"/>
      </w:tcPr>
    </w:tblStylePr>
    <w:tblStylePr w:type="band1Horz">
      <w:tblPr/>
      <w:tcPr>
        <w:tcBorders>
          <w:top w:val="nil"/>
          <w:bottom w:val="nil"/>
          <w:insideH w:val="nil"/>
          <w:insideV w:val="nil"/>
        </w:tcBorders>
        <w:shd w:val="clear" w:color="auto" w:fill="D2EA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82">
    <w:name w:val="Medium List 2 Accent 6"/>
    <w:basedOn w:val="32"/>
    <w:uiPriority w:val="66"/>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5D1" w:themeFill="accent6" w:themeFillTint="3F"/>
      </w:tcPr>
    </w:tblStylePr>
    <w:tblStylePr w:type="band1Horz">
      <w:tblPr/>
      <w:tcPr>
        <w:tcBorders>
          <w:top w:val="nil"/>
          <w:bottom w:val="nil"/>
          <w:insideH w:val="nil"/>
          <w:insideV w:val="nil"/>
        </w:tcBorders>
        <w:shd w:val="clear" w:color="auto" w:fill="FDE5D1"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83">
    <w:name w:val="Medium Grid 1"/>
    <w:basedOn w:val="32"/>
    <w:uiPriority w:val="67"/>
    <w:pPr>
      <w:spacing w:after="0" w:line="240" w:lineRule="auto"/>
    </w:pPr>
    <w:tblPr>
      <w:tblBorders>
        <w:top w:val="single" w:color="3F3F3F" w:themeColor="text1" w:themeTint="BF" w:sz="8" w:space="0"/>
        <w:left w:val="single" w:color="3F3F3F" w:themeColor="text1" w:themeTint="BF" w:sz="8" w:space="0"/>
        <w:bottom w:val="single" w:color="3F3F3F" w:themeColor="text1" w:themeTint="BF" w:sz="8" w:space="0"/>
        <w:right w:val="single" w:color="3F3F3F" w:themeColor="text1" w:themeTint="BF" w:sz="8" w:space="0"/>
        <w:insideH w:val="single" w:color="3F3F3F" w:themeColor="text1" w:themeTint="BF" w:sz="8" w:space="0"/>
        <w:insideV w:val="single" w:color="3F3F3F" w:themeColor="text1" w:themeTint="BF" w:sz="8" w:space="0"/>
      </w:tblBorders>
      <w:tblCellMar>
        <w:top w:w="0" w:type="dxa"/>
        <w:left w:w="108" w:type="dxa"/>
        <w:bottom w:w="0" w:type="dxa"/>
        <w:right w:w="108" w:type="dxa"/>
      </w:tblCellMar>
    </w:tblPr>
    <w:tcPr>
      <w:shd w:val="clear" w:color="auto" w:fill="BFBFBF" w:themeFill="text1" w:themeFillTint="3F"/>
    </w:tcPr>
    <w:tblStylePr w:type="firstRow">
      <w:rPr>
        <w:b/>
        <w:bCs/>
      </w:rPr>
    </w:tblStylePr>
    <w:tblStylePr w:type="lastRow">
      <w:rPr>
        <w:b/>
        <w:bCs/>
      </w:rPr>
      <w:tblPr/>
      <w:tcPr>
        <w:tcBorders>
          <w:top w:val="single" w:color="3F3F3F" w:themeColor="text1" w:themeTint="BF" w:sz="18" w:space="0"/>
        </w:tcBorders>
      </w:tcPr>
    </w:tblStylePr>
    <w:tblStylePr w:type="firstCol">
      <w:rPr>
        <w:b/>
        <w:bCs/>
      </w:rPr>
    </w:tblStylePr>
    <w:tblStylePr w:type="lastCol">
      <w:rPr>
        <w:b/>
        <w:bCs/>
      </w:r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84">
    <w:name w:val="Medium Grid 1 Accent 1"/>
    <w:basedOn w:val="32"/>
    <w:uiPriority w:val="67"/>
    <w:pPr>
      <w:spacing w:after="0" w:line="240" w:lineRule="auto"/>
    </w:pPr>
    <w:tblPr>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85">
    <w:name w:val="Medium Grid 1 Accent 2"/>
    <w:basedOn w:val="32"/>
    <w:uiPriority w:val="67"/>
    <w:pPr>
      <w:spacing w:after="0" w:line="240" w:lineRule="auto"/>
    </w:pPr>
    <w:tblPr>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3"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86">
    <w:name w:val="Medium Grid 1 Accent 3"/>
    <w:basedOn w:val="32"/>
    <w:uiPriority w:val="67"/>
    <w:pPr>
      <w:spacing w:after="0" w:line="240" w:lineRule="auto"/>
    </w:pPr>
    <w:tblPr>
      <w:tblBorders>
        <w:top w:val="single" w:color="B4CC82" w:themeColor="accent3" w:themeTint="BF" w:sz="8" w:space="0"/>
        <w:left w:val="single" w:color="B4CC82" w:themeColor="accent3" w:themeTint="BF" w:sz="8" w:space="0"/>
        <w:bottom w:val="single" w:color="B4CC82" w:themeColor="accent3" w:themeTint="BF" w:sz="8" w:space="0"/>
        <w:right w:val="single" w:color="B4CC82" w:themeColor="accent3" w:themeTint="BF" w:sz="8" w:space="0"/>
        <w:insideH w:val="single" w:color="B4CC82" w:themeColor="accent3" w:themeTint="BF" w:sz="8" w:space="0"/>
        <w:insideV w:val="single" w:color="B4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color="B4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87">
    <w:name w:val="Medium Grid 1 Accent 4"/>
    <w:basedOn w:val="32"/>
    <w:uiPriority w:val="67"/>
    <w:pPr>
      <w:spacing w:after="0" w:line="240" w:lineRule="auto"/>
    </w:pPr>
    <w:tblPr>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88">
    <w:name w:val="Medium Grid 1 Accent 5"/>
    <w:basedOn w:val="32"/>
    <w:uiPriority w:val="67"/>
    <w:pPr>
      <w:spacing w:after="0" w:line="240" w:lineRule="auto"/>
    </w:pPr>
    <w:tblPr>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0"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89">
    <w:name w:val="Medium Grid 1 Accent 6"/>
    <w:basedOn w:val="32"/>
    <w:uiPriority w:val="67"/>
    <w:pPr>
      <w:spacing w:after="0" w:line="240" w:lineRule="auto"/>
    </w:pPr>
    <w:tblPr>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5D1"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90">
    <w:name w:val="Medium Grid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BFBFBF" w:themeFill="text1" w:themeFillTint="3F"/>
    </w:tcPr>
    <w:tblStylePr w:type="firstRow">
      <w:rPr>
        <w:b/>
        <w:bCs/>
        <w:color w:val="000000" w:themeColor="text1"/>
        <w14:textFill>
          <w14:solidFill>
            <w14:schemeClr w14:val="tx1"/>
          </w14:solidFill>
        </w14:textFill>
      </w:rPr>
      <w:tblPr/>
      <w:tcPr>
        <w:shd w:val="clear" w:color="auto" w:fill="E5E5E5" w:themeFill="tex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7F7F7F" w:themeFill="text1" w:themeFillTint="7F"/>
      </w:tcPr>
    </w:tblStylePr>
    <w:tblStylePr w:type="band1Horz">
      <w:tblPr/>
      <w:tcPr>
        <w:tcBorders>
          <w:insideH w:val="single" w:sz="6" w:space="0"/>
          <w:insideV w:val="single" w:sz="6" w:space="0"/>
        </w:tcBorders>
        <w:shd w:val="clear" w:color="auto" w:fill="7F7F7F" w:themeFill="text1" w:themeFillTint="7F"/>
      </w:tcPr>
    </w:tblStylePr>
    <w:tblStylePr w:type="nwCell">
      <w:tblPr/>
      <w:tcPr>
        <w:shd w:val="clear" w:color="auto" w:fill="FFFFFF" w:themeFill="background1"/>
      </w:tcPr>
    </w:tblStylePr>
  </w:style>
  <w:style w:type="table" w:styleId="91">
    <w:name w:val="Medium Grid 2 Accent 1"/>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14:textFill>
          <w14:solidFill>
            <w14:schemeClr w14:val="tx1"/>
          </w14:solidFill>
        </w14:textFill>
      </w:rPr>
      <w:tblPr/>
      <w:tcPr>
        <w:shd w:val="clear" w:color="auto" w:fill="EDF2F8" w:themeFill="accent1"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C0DE" w:themeFill="accent1" w:themeFillTint="7F"/>
      </w:tcPr>
    </w:tblStylePr>
    <w:tblStylePr w:type="band1Horz">
      <w:tblPr/>
      <w:tcPr>
        <w:tcBorders>
          <w:insideH w:val="single" w:sz="6" w:space="0"/>
          <w:insideV w:val="single" w:sz="6" w:space="0"/>
        </w:tcBorders>
        <w:shd w:val="clear" w:color="auto" w:fill="A7C0DE" w:themeFill="accent1" w:themeFillTint="7F"/>
      </w:tcPr>
    </w:tblStylePr>
    <w:tblStylePr w:type="nwCell">
      <w:tblPr/>
      <w:tcPr>
        <w:shd w:val="clear" w:color="auto" w:fill="FFFFFF" w:themeFill="background1"/>
      </w:tcPr>
    </w:tblStylePr>
  </w:style>
  <w:style w:type="table" w:styleId="92">
    <w:name w:val="Medium Grid 2 Accent 2"/>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3" w:themeFill="accent2" w:themeFillTint="3F"/>
    </w:tcPr>
    <w:tblStylePr w:type="firstRow">
      <w:rPr>
        <w:b/>
        <w:bCs/>
        <w:color w:val="000000" w:themeColor="text1"/>
        <w14:textFill>
          <w14:solidFill>
            <w14:schemeClr w14:val="tx1"/>
          </w14:solidFill>
        </w14:textFill>
      </w:rPr>
      <w:tblPr/>
      <w:tcPr>
        <w:shd w:val="clear" w:color="auto" w:fill="F8EDED" w:themeFill="accent2"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insideV w:val="single" w:sz="6" w:space="0"/>
        </w:tcBorders>
        <w:shd w:val="clear" w:color="auto" w:fill="DFA7A6" w:themeFill="accent2" w:themeFillTint="7F"/>
      </w:tcPr>
    </w:tblStylePr>
    <w:tblStylePr w:type="nwCell">
      <w:tblPr/>
      <w:tcPr>
        <w:shd w:val="clear" w:color="auto" w:fill="FFFFFF" w:themeFill="background1"/>
      </w:tcPr>
    </w:tblStylePr>
  </w:style>
  <w:style w:type="table" w:styleId="93">
    <w:name w:val="Medium Grid 2 Accent 3"/>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14:textFill>
          <w14:solidFill>
            <w14:schemeClr w14:val="tx1"/>
          </w14:solidFill>
        </w14:textFill>
      </w:rPr>
      <w:tblPr/>
      <w:tcPr>
        <w:shd w:val="clear" w:color="auto" w:fill="F5F8EE" w:themeFill="accent3"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insideV w:val="single" w:sz="6" w:space="0"/>
        </w:tcBorders>
        <w:shd w:val="clear" w:color="auto" w:fill="CDDDAC" w:themeFill="accent3" w:themeFillTint="7F"/>
      </w:tcPr>
    </w:tblStylePr>
    <w:tblStylePr w:type="nwCell">
      <w:tblPr/>
      <w:tcPr>
        <w:shd w:val="clear" w:color="auto" w:fill="FFFFFF" w:themeFill="background1"/>
      </w:tcPr>
    </w:tblStylePr>
  </w:style>
  <w:style w:type="table" w:styleId="94">
    <w:name w:val="Medium Grid 2 Accent 4"/>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14:textFill>
          <w14:solidFill>
            <w14:schemeClr w14:val="tx1"/>
          </w14:solidFill>
        </w14:textFill>
      </w:rPr>
      <w:tblPr/>
      <w:tcPr>
        <w:shd w:val="clear" w:color="auto" w:fill="F2EFF5" w:themeFill="accent4"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insideV w:val="single" w:sz="6" w:space="0"/>
        </w:tcBorders>
        <w:shd w:val="clear" w:color="auto" w:fill="BFB1D0" w:themeFill="accent4" w:themeFillTint="7F"/>
      </w:tcPr>
    </w:tblStylePr>
    <w:tblStylePr w:type="nwCell">
      <w:tblPr/>
      <w:tcPr>
        <w:shd w:val="clear" w:color="auto" w:fill="FFFFFF" w:themeFill="background1"/>
      </w:tcPr>
    </w:tblStylePr>
  </w:style>
  <w:style w:type="table" w:styleId="95">
    <w:name w:val="Medium Grid 2 Accent 5"/>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0" w:themeFill="accent5" w:themeFillTint="3F"/>
    </w:tcPr>
    <w:tblStylePr w:type="firstRow">
      <w:rPr>
        <w:b/>
        <w:bCs/>
        <w:color w:val="000000" w:themeColor="text1"/>
        <w14:textFill>
          <w14:solidFill>
            <w14:schemeClr w14:val="tx1"/>
          </w14:solidFill>
        </w14:textFill>
      </w:rPr>
      <w:tblPr/>
      <w:tcPr>
        <w:shd w:val="clear" w:color="auto" w:fill="EDF6F9" w:themeFill="accent5"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insideV w:val="single" w:sz="6" w:space="0"/>
        </w:tcBorders>
        <w:shd w:val="clear" w:color="auto" w:fill="A5D5E2" w:themeFill="accent5" w:themeFillTint="7F"/>
      </w:tcPr>
    </w:tblStylePr>
    <w:tblStylePr w:type="nwCell">
      <w:tblPr/>
      <w:tcPr>
        <w:shd w:val="clear" w:color="auto" w:fill="FFFFFF" w:themeFill="background1"/>
      </w:tcPr>
    </w:tblStylePr>
  </w:style>
  <w:style w:type="table" w:styleId="96">
    <w:name w:val="Medium Grid 2 Accent 6"/>
    <w:basedOn w:val="32"/>
    <w:uiPriority w:val="68"/>
    <w:pPr>
      <w:spacing w:after="0" w:line="240" w:lineRule="auto"/>
    </w:pPr>
    <w:rPr>
      <w:rFonts w:asciiTheme="majorHAnsi" w:hAnsiTheme="majorHAnsi" w:eastAsiaTheme="majorEastAsia" w:cstheme="majorBidi"/>
      <w:color w:val="000000" w:themeColor="text1"/>
      <w14:textFill>
        <w14:solidFill>
          <w14:schemeClr w14:val="tx1"/>
        </w14:solidFill>
      </w14:textFill>
    </w:rPr>
    <w:tblPr>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5D1" w:themeFill="accent6" w:themeFillTint="3F"/>
    </w:tcPr>
    <w:tblStylePr w:type="firstRow">
      <w:rPr>
        <w:b/>
        <w:bCs/>
        <w:color w:val="000000" w:themeColor="text1"/>
        <w14:textFill>
          <w14:solidFill>
            <w14:schemeClr w14:val="tx1"/>
          </w14:solidFill>
        </w14:textFill>
      </w:rPr>
      <w:tblPr/>
      <w:tcPr>
        <w:shd w:val="clear" w:color="auto" w:fill="FEF4EC" w:themeFill="accent6" w:themeFillTint="19"/>
      </w:tcPr>
    </w:tblStylePr>
    <w:tblStylePr w:type="lastRow">
      <w:rPr>
        <w:b/>
        <w:bCs/>
        <w:color w:val="000000" w:themeColor="text1"/>
        <w14:textFill>
          <w14:solidFill>
            <w14:schemeClr w14:val="tx1"/>
          </w14:solidFill>
        </w14:textFill>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14:textFill>
          <w14:solidFill>
            <w14:schemeClr w14:val="tx1"/>
          </w14:solidFill>
        </w14:textFill>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14:textFill>
          <w14:solidFill>
            <w14:schemeClr w14:val="tx1"/>
          </w14:solidFill>
        </w14:textFill>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insideV w:val="single" w:sz="6" w:space="0"/>
        </w:tcBorders>
        <w:shd w:val="clear" w:color="auto" w:fill="FBCAA2" w:themeFill="accent6" w:themeFillTint="7F"/>
      </w:tcPr>
    </w:tblStylePr>
    <w:tblStylePr w:type="nwCell">
      <w:tblPr/>
      <w:tcPr>
        <w:shd w:val="clear" w:color="auto" w:fill="FFFFFF" w:themeFill="background1"/>
      </w:tcPr>
    </w:tblStylePr>
  </w:style>
  <w:style w:type="table" w:styleId="97">
    <w:name w:val="Medium Grid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BFBFBF" w:themeFill="tex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000000" w:themeFill="tex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000000" w:themeFill="tex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7F7F7F"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7F7F7F" w:themeFill="text1" w:themeFillTint="7F"/>
      </w:tcPr>
    </w:tblStylePr>
  </w:style>
  <w:style w:type="table" w:styleId="98">
    <w:name w:val="Medium Grid 3 Accent 1"/>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F81BD" w:themeFill="accent1"/>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F81BD" w:themeFill="accent1"/>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C0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7C0DE" w:themeFill="accent1" w:themeFillTint="7F"/>
      </w:tcPr>
    </w:tblStylePr>
  </w:style>
  <w:style w:type="table" w:styleId="99">
    <w:name w:val="Medium Grid 3 Accent 2"/>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3" w:themeFill="accent2"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C0504D" w:themeFill="accent2"/>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C0504D" w:themeFill="accent2"/>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DFA7A6" w:themeFill="accent2" w:themeFillTint="7F"/>
      </w:tcPr>
    </w:tblStylePr>
  </w:style>
  <w:style w:type="table" w:styleId="100">
    <w:name w:val="Medium Grid 3 Accent 3"/>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9BBB59" w:themeFill="accent3"/>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9BBB59" w:themeFill="accent3"/>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CDDDAC" w:themeFill="accent3" w:themeFillTint="7F"/>
      </w:tcPr>
    </w:tblStylePr>
  </w:style>
  <w:style w:type="table" w:styleId="101">
    <w:name w:val="Medium Grid 3 Accent 4"/>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8064A2" w:themeFill="accent4"/>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8064A2" w:themeFill="accent4"/>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BFB1D0" w:themeFill="accent4" w:themeFillTint="7F"/>
      </w:tcPr>
    </w:tblStylePr>
  </w:style>
  <w:style w:type="table" w:styleId="102">
    <w:name w:val="Medium Grid 3 Accent 5"/>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0" w:themeFill="accent5"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4BACC6" w:themeFill="accent5"/>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4BACC6" w:themeFill="accent5"/>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A5D5E2" w:themeFill="accent5" w:themeFillTint="7F"/>
      </w:tcPr>
    </w:tblStylePr>
  </w:style>
  <w:style w:type="table" w:styleId="103">
    <w:name w:val="Medium Grid 3 Accent 6"/>
    <w:basedOn w:val="32"/>
    <w:uiPriority w:val="69"/>
    <w:pPr>
      <w:spacing w:after="0" w:line="240" w:lineRule="auto"/>
    </w:pPr>
    <w:tblPr>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5D1" w:themeFill="accent6" w:themeFillTint="3F"/>
    </w:tcPr>
    <w:tblStylePr w:type="firstRow">
      <w:rPr>
        <w:b/>
        <w:bCs/>
        <w:i w:val="0"/>
        <w:iCs w:val="0"/>
        <w:color w:val="FFFFFF" w:themeColor="background1"/>
        <w14:textFill>
          <w14:solidFill>
            <w14:schemeClr w14:val="bg1"/>
          </w14:solidFill>
        </w14:textFill>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sz="8" w:space="0"/>
        </w:tcBorders>
        <w:shd w:val="clear" w:color="auto" w:fill="F79646" w:themeFill="accent6"/>
      </w:tcPr>
    </w:tblStylePr>
    <w:tblStylePr w:type="lastRow">
      <w:rPr>
        <w:b/>
        <w:bCs/>
        <w:i w:val="0"/>
        <w:iCs w:val="0"/>
        <w:color w:val="FFFFFF" w:themeColor="background1"/>
        <w14:textFill>
          <w14:solidFill>
            <w14:schemeClr w14:val="bg1"/>
          </w14:solidFill>
        </w14:textFill>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sz="8" w:space="0"/>
        </w:tcBorders>
        <w:shd w:val="clear" w:color="auto" w:fill="F79646" w:themeFill="accent6"/>
      </w:tcPr>
    </w:tblStylePr>
    <w:tblStylePr w:type="firstCol">
      <w:rPr>
        <w:b/>
        <w:bCs/>
        <w:i w:val="0"/>
        <w:iCs w:val="0"/>
        <w:color w:val="FFFFFF" w:themeColor="background1"/>
        <w14:textFill>
          <w14:solidFill>
            <w14:schemeClr w14:val="bg1"/>
          </w14:solidFill>
        </w14:textFill>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14:textFill>
          <w14:solidFill>
            <w14:schemeClr w14:val="bg1"/>
          </w14:solidFill>
        </w14:textFill>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sz="8" w:space="0"/>
          <w:insideV w:val="single" w:sz="8" w:space="0"/>
        </w:tcBorders>
        <w:shd w:val="clear" w:color="auto" w:fill="FBCAA2" w:themeFill="accent6" w:themeFillTint="7F"/>
      </w:tcPr>
    </w:tblStylePr>
  </w:style>
  <w:style w:type="table" w:styleId="104">
    <w:name w:val="Dark List"/>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05">
    <w:name w:val="Dark List Accent 1"/>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1"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60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6091" w:themeFill="accent1" w:themeFillShade="BF"/>
      </w:tcPr>
    </w:tblStylePr>
    <w:tblStylePr w:type="band1Vert">
      <w:tblPr/>
      <w:tcPr>
        <w:tcBorders>
          <w:top w:val="nil"/>
          <w:left w:val="nil"/>
          <w:bottom w:val="nil"/>
          <w:right w:val="nil"/>
          <w:insideH w:val="nil"/>
          <w:insideV w:val="nil"/>
        </w:tcBorders>
        <w:shd w:val="clear" w:color="auto" w:fill="366091" w:themeFill="accent1" w:themeFillShade="BF"/>
      </w:tcPr>
    </w:tblStylePr>
    <w:tblStylePr w:type="band1Horz">
      <w:tblPr/>
      <w:tcPr>
        <w:tcBorders>
          <w:top w:val="nil"/>
          <w:left w:val="nil"/>
          <w:bottom w:val="nil"/>
          <w:right w:val="nil"/>
          <w:insideH w:val="nil"/>
          <w:insideV w:val="nil"/>
        </w:tcBorders>
        <w:shd w:val="clear" w:color="auto" w:fill="366091" w:themeFill="accent1" w:themeFillShade="BF"/>
      </w:tcPr>
    </w:tblStylePr>
  </w:style>
  <w:style w:type="table" w:styleId="106">
    <w:name w:val="Dark List Accent 2"/>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7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734" w:themeFill="accent2" w:themeFillShade="BF"/>
      </w:tcPr>
    </w:tblStylePr>
    <w:tblStylePr w:type="band1Vert">
      <w:tblPr/>
      <w:tcPr>
        <w:tcBorders>
          <w:top w:val="nil"/>
          <w:left w:val="nil"/>
          <w:bottom w:val="nil"/>
          <w:right w:val="nil"/>
          <w:insideH w:val="nil"/>
          <w:insideV w:val="nil"/>
        </w:tcBorders>
        <w:shd w:val="clear" w:color="auto" w:fill="943734" w:themeFill="accent2" w:themeFillShade="BF"/>
      </w:tcPr>
    </w:tblStylePr>
    <w:tblStylePr w:type="band1Horz">
      <w:tblPr/>
      <w:tcPr>
        <w:tcBorders>
          <w:top w:val="nil"/>
          <w:left w:val="nil"/>
          <w:bottom w:val="nil"/>
          <w:right w:val="nil"/>
          <w:insideH w:val="nil"/>
          <w:insideV w:val="nil"/>
        </w:tcBorders>
        <w:shd w:val="clear" w:color="auto" w:fill="943734" w:themeFill="accent2" w:themeFillShade="BF"/>
      </w:tcPr>
    </w:tblStylePr>
  </w:style>
  <w:style w:type="table" w:styleId="107">
    <w:name w:val="Dark List Accent 3"/>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7"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108">
    <w:name w:val="Dark List Accent 4"/>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0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109">
    <w:name w:val="Dark List Accent 5"/>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110">
    <w:name w:val="Dark List Accent 6"/>
    <w:basedOn w:val="32"/>
    <w:uiPriority w:val="70"/>
    <w:pPr>
      <w:spacing w:after="0" w:line="240" w:lineRule="auto"/>
    </w:pPr>
    <w:rPr>
      <w:color w:val="FFFFFF" w:themeColor="background1"/>
      <w14:textFill>
        <w14:solidFill>
          <w14:schemeClr w14:val="bg1"/>
        </w14:solidFill>
      </w14:textFill>
    </w:rPr>
    <w:tblPr>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9"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9" w:themeFill="accent6" w:themeFillShade="BF"/>
      </w:tcPr>
    </w:tblStylePr>
    <w:tblStylePr w:type="band1Vert">
      <w:tblPr/>
      <w:tcPr>
        <w:tcBorders>
          <w:top w:val="nil"/>
          <w:left w:val="nil"/>
          <w:bottom w:val="nil"/>
          <w:right w:val="nil"/>
          <w:insideH w:val="nil"/>
          <w:insideV w:val="nil"/>
        </w:tcBorders>
        <w:shd w:val="clear" w:color="auto" w:fill="E36C09" w:themeFill="accent6" w:themeFillShade="BF"/>
      </w:tcPr>
    </w:tblStylePr>
    <w:tblStylePr w:type="band1Horz">
      <w:tblPr/>
      <w:tcPr>
        <w:tcBorders>
          <w:top w:val="nil"/>
          <w:left w:val="nil"/>
          <w:bottom w:val="nil"/>
          <w:right w:val="nil"/>
          <w:insideH w:val="nil"/>
          <w:insideV w:val="nil"/>
        </w:tcBorders>
        <w:shd w:val="clear" w:color="auto" w:fill="E36C09" w:themeFill="accent6" w:themeFillShade="BF"/>
      </w:tcPr>
    </w:tblStylePr>
  </w:style>
  <w:style w:type="table" w:styleId="111">
    <w:name w:val="Colorful Shading"/>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5E5E5"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000000" w:themeFill="tex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000000" w:themeFill="tex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7F7F7F" w:themeFill="tex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2">
    <w:name w:val="Colorful Shading Accent 1"/>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B4D74" w:themeFill="accent1"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B4D74" w:themeFill="accent1"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B4D74" w:themeFill="accent1" w:themeFillShade="99"/>
      </w:tcPr>
    </w:tblStylePr>
    <w:tblStylePr w:type="band1Vert">
      <w:tblPr/>
      <w:tcPr>
        <w:shd w:val="clear" w:color="auto" w:fill="B8CCE4" w:themeFill="accent1" w:themeFillTint="66"/>
      </w:tcPr>
    </w:tblStylePr>
    <w:tblStylePr w:type="band1Horz">
      <w:tblPr/>
      <w:tcPr>
        <w:shd w:val="clear" w:color="auto" w:fill="A7C0DE" w:themeFill="accent1"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3">
    <w:name w:val="Colorful Shading Accent 2"/>
    <w:basedOn w:val="32"/>
    <w:uiPriority w:val="71"/>
    <w:pPr>
      <w:spacing w:after="0" w:line="240" w:lineRule="auto"/>
    </w:pPr>
    <w:rPr>
      <w:color w:val="000000" w:themeColor="text1"/>
      <w14:textFill>
        <w14:solidFill>
          <w14:schemeClr w14:val="tx1"/>
        </w14:solidFill>
      </w14:textFill>
    </w:rPr>
    <w:tblPr>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772C2A" w:themeFill="accent2"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772C2A" w:themeFill="accent2"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4">
    <w:name w:val="Colorful Shading Accent 3"/>
    <w:basedOn w:val="32"/>
    <w:uiPriority w:val="71"/>
    <w:pPr>
      <w:spacing w:after="0" w:line="240" w:lineRule="auto"/>
    </w:pPr>
    <w:rPr>
      <w:color w:val="000000" w:themeColor="text1"/>
      <w14:textFill>
        <w14:solidFill>
          <w14:schemeClr w14:val="tx1"/>
        </w14:solidFill>
      </w14:textFill>
    </w:rPr>
    <w:tblPr>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5E7530" w:themeFill="accent3"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5E7530" w:themeFill="accent3"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115">
    <w:name w:val="Colorful Shading Accent 4"/>
    <w:basedOn w:val="32"/>
    <w:uiPriority w:val="71"/>
    <w:pPr>
      <w:spacing w:after="0" w:line="240" w:lineRule="auto"/>
    </w:pPr>
    <w:rPr>
      <w:color w:val="000000" w:themeColor="text1"/>
      <w14:textFill>
        <w14:solidFill>
          <w14:schemeClr w14:val="tx1"/>
        </w14:solidFill>
      </w14:textFill>
    </w:rPr>
    <w:tblPr>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5"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4C3A62" w:themeFill="accent4"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4C3A62" w:themeFill="accent4"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4C3A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6">
    <w:name w:val="Colorful Shading Accent 5"/>
    <w:basedOn w:val="32"/>
    <w:uiPriority w:val="71"/>
    <w:pPr>
      <w:spacing w:after="0" w:line="240" w:lineRule="auto"/>
    </w:pPr>
    <w:rPr>
      <w:color w:val="000000" w:themeColor="text1"/>
      <w14:textFill>
        <w14:solidFill>
          <w14:schemeClr w14:val="tx1"/>
        </w14:solidFill>
      </w14:textFill>
    </w:rPr>
    <w:tblPr>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276A7C" w:themeFill="accent5"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276A7C" w:themeFill="accent5"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7">
    <w:name w:val="Colorful Shading Accent 6"/>
    <w:basedOn w:val="32"/>
    <w:uiPriority w:val="71"/>
    <w:pPr>
      <w:spacing w:after="0" w:line="240" w:lineRule="auto"/>
    </w:pPr>
    <w:rPr>
      <w:color w:val="000000" w:themeColor="text1"/>
      <w14:textFill>
        <w14:solidFill>
          <w14:schemeClr w14:val="tx1"/>
        </w14:solidFill>
      </w14:textFill>
    </w:rPr>
    <w:tblPr>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14:textFill>
          <w14:solidFill>
            <w14:schemeClr w14:val="bg1"/>
          </w14:solidFill>
        </w14:textFill>
      </w:rPr>
      <w:tblPr/>
      <w:tcPr>
        <w:tcBorders>
          <w:top w:val="single" w:color="FFFFFF" w:themeColor="background1" w:sz="6" w:space="0"/>
        </w:tcBorders>
        <w:shd w:val="clear" w:color="auto" w:fill="B65607" w:themeFill="accent6" w:themeFillShade="99"/>
      </w:tcPr>
    </w:tblStylePr>
    <w:tblStylePr w:type="firstCol">
      <w:rPr>
        <w:color w:val="FFFFFF" w:themeColor="background1"/>
        <w14:textFill>
          <w14:solidFill>
            <w14:schemeClr w14:val="bg1"/>
          </w14:solidFill>
        </w14:textFill>
      </w:rPr>
      <w:tblPr/>
      <w:tcPr>
        <w:tcBorders>
          <w:top w:val="nil"/>
          <w:left w:val="nil"/>
          <w:bottom w:val="nil"/>
          <w:right w:val="nil"/>
          <w:insideH w:val="single" w:sz="4" w:space="0"/>
          <w:insideV w:val="nil"/>
        </w:tcBorders>
        <w:shd w:val="clear" w:color="auto" w:fill="B65607" w:themeFill="accent6" w:themeFillShade="99"/>
      </w:tcPr>
    </w:tblStylePr>
    <w:tblStylePr w:type="lastCol">
      <w:rPr>
        <w:color w:val="FFFFFF" w:themeColor="background1"/>
        <w14:textFill>
          <w14:solidFill>
            <w14:schemeClr w14:val="bg1"/>
          </w14:solidFill>
        </w14:textFill>
      </w:rPr>
      <w:tblPr/>
      <w:tcPr>
        <w:tcBorders>
          <w:top w:val="nil"/>
          <w:left w:val="nil"/>
          <w:bottom w:val="nil"/>
          <w:right w:val="nil"/>
          <w:insideH w:val="nil"/>
          <w:insideV w:val="nil"/>
        </w:tcBorders>
        <w:shd w:val="clear" w:color="auto" w:fill="B65607"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14:textFill>
          <w14:solidFill>
            <w14:schemeClr w14:val="tx1"/>
          </w14:solidFill>
        </w14:textFill>
      </w:rPr>
    </w:tblStylePr>
    <w:tblStylePr w:type="nwCell">
      <w:rPr>
        <w:color w:val="000000" w:themeColor="text1"/>
        <w14:textFill>
          <w14:solidFill>
            <w14:schemeClr w14:val="tx1"/>
          </w14:solidFill>
        </w14:textFill>
      </w:rPr>
    </w:tblStylePr>
  </w:style>
  <w:style w:type="table" w:styleId="118">
    <w:name w:val="Colorful List"/>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5E5E5" w:themeFill="tex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FBFBF" w:themeFill="text1" w:themeFillTint="3F"/>
      </w:tcPr>
    </w:tblStylePr>
    <w:tblStylePr w:type="band1Horz">
      <w:tblPr/>
      <w:tcPr>
        <w:shd w:val="clear" w:color="auto" w:fill="CCCCCC" w:themeFill="text1" w:themeFillTint="33"/>
      </w:tcPr>
    </w:tblStylePr>
  </w:style>
  <w:style w:type="table" w:styleId="119">
    <w:name w:val="Colorful List Accent 1"/>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20">
    <w:name w:val="Colorful List Accent 2"/>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9E3A38" w:themeFill="accent2" w:themeFillShade="CC"/>
      </w:tcPr>
    </w:tblStylePr>
    <w:tblStylePr w:type="lastRow">
      <w:rPr>
        <w:b/>
        <w:bCs/>
        <w:color w:val="9F3B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3" w:themeFill="accent2" w:themeFillTint="3F"/>
      </w:tcPr>
    </w:tblStylePr>
    <w:tblStylePr w:type="band1Horz">
      <w:tblPr/>
      <w:tcPr>
        <w:shd w:val="clear" w:color="auto" w:fill="F2DBDB" w:themeFill="accent2" w:themeFillTint="33"/>
      </w:tcPr>
    </w:tblStylePr>
  </w:style>
  <w:style w:type="table" w:styleId="121">
    <w:name w:val="Colorful List Accent 3"/>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664E82" w:themeFill="accent4" w:themeFillShade="CC"/>
      </w:tcPr>
    </w:tblStylePr>
    <w:tblStylePr w:type="lastRow">
      <w:rPr>
        <w:b/>
        <w:bCs/>
        <w:color w:val="664F83"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122">
    <w:name w:val="Colorful List Accent 4"/>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2EFF5" w:themeFill="accent4"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7E9C40" w:themeFill="accent3" w:themeFillShade="CC"/>
      </w:tcPr>
    </w:tblStylePr>
    <w:tblStylePr w:type="lastRow">
      <w:rPr>
        <w:b/>
        <w:bCs/>
        <w:color w:val="7E9D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123">
    <w:name w:val="Colorful List Accent 5"/>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F3730A" w:themeFill="accent6" w:themeFillShade="CC"/>
      </w:tcPr>
    </w:tblStylePr>
    <w:tblStylePr w:type="lastRow">
      <w:rPr>
        <w:b/>
        <w:bCs/>
        <w:color w:val="F3740B"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0" w:themeFill="accent5" w:themeFillTint="3F"/>
      </w:tcPr>
    </w:tblStylePr>
    <w:tblStylePr w:type="band1Horz">
      <w:tblPr/>
      <w:tcPr>
        <w:shd w:val="clear" w:color="auto" w:fill="DAEEF3" w:themeFill="accent5" w:themeFillTint="33"/>
      </w:tcPr>
    </w:tblStylePr>
  </w:style>
  <w:style w:type="table" w:styleId="124">
    <w:name w:val="Colorful List Accent 6"/>
    <w:basedOn w:val="32"/>
    <w:uiPriority w:val="72"/>
    <w:pPr>
      <w:spacing w:after="0" w:line="240" w:lineRule="auto"/>
    </w:pPr>
    <w:rPr>
      <w:color w:val="000000" w:themeColor="text1"/>
      <w14:textFill>
        <w14:solidFill>
          <w14:schemeClr w14:val="tx1"/>
        </w14:solidFill>
      </w14:textFill>
    </w:rPr>
    <w:tblPr>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14:textFill>
          <w14:solidFill>
            <w14:schemeClr w14:val="bg1"/>
          </w14:solidFill>
        </w14:textFill>
      </w:rPr>
      <w:tblPr/>
      <w:tcPr>
        <w:tcBorders>
          <w:bottom w:val="single" w:color="FFFFFF" w:themeColor="background1" w:sz="12" w:space="0"/>
        </w:tcBorders>
        <w:shd w:val="clear" w:color="auto" w:fill="348DA5" w:themeFill="accent5" w:themeFillShade="CC"/>
      </w:tcPr>
    </w:tblStylePr>
    <w:tblStylePr w:type="lastRow">
      <w:rPr>
        <w:b/>
        <w:bCs/>
        <w:color w:val="358EA6"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5D1" w:themeFill="accent6" w:themeFillTint="3F"/>
      </w:tcPr>
    </w:tblStylePr>
    <w:tblStylePr w:type="band1Horz">
      <w:tblPr/>
      <w:tcPr>
        <w:shd w:val="clear" w:color="auto" w:fill="FDE9D9" w:themeFill="accent6" w:themeFillTint="33"/>
      </w:tcPr>
    </w:tblStylePr>
  </w:style>
  <w:style w:type="table" w:styleId="125">
    <w:name w:val="Colorful Grid"/>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14:textFill>
          <w14:solidFill>
            <w14:schemeClr w14:val="tx1"/>
          </w14:solidFill>
        </w14:textFill>
      </w:rPr>
      <w:tblPr/>
      <w:tcPr>
        <w:shd w:val="clear" w:color="auto" w:fill="999999" w:themeFill="text1" w:themeFillTint="66"/>
      </w:tcPr>
    </w:tblStylePr>
    <w:tblStylePr w:type="firstCol">
      <w:rPr>
        <w:color w:val="FFFFFF" w:themeColor="background1"/>
        <w14:textFill>
          <w14:solidFill>
            <w14:schemeClr w14:val="bg1"/>
          </w14:solidFill>
        </w14:textFill>
      </w:rPr>
      <w:tblPr/>
      <w:tcPr>
        <w:shd w:val="clear" w:color="auto" w:fill="000000" w:themeFill="text1" w:themeFillShade="BF"/>
      </w:tcPr>
    </w:tblStylePr>
    <w:tblStylePr w:type="lastCol">
      <w:rPr>
        <w:color w:val="FFFFFF" w:themeColor="background1"/>
        <w14:textFill>
          <w14:solidFill>
            <w14:schemeClr w14:val="bg1"/>
          </w14:solidFill>
        </w14:textFill>
      </w:rPr>
      <w:tblPr/>
      <w:tcPr>
        <w:shd w:val="clear" w:color="auto" w:fill="000000" w:themeFill="text1" w:themeFillShade="BF"/>
      </w:tcPr>
    </w:tblStylePr>
    <w:tblStylePr w:type="band1Vert">
      <w:tblPr/>
      <w:tcPr>
        <w:shd w:val="clear" w:color="auto" w:fill="7F7F7F" w:themeFill="text1" w:themeFillTint="7F"/>
      </w:tcPr>
    </w:tblStylePr>
    <w:tblStylePr w:type="band1Horz">
      <w:tblPr/>
      <w:tcPr>
        <w:shd w:val="clear" w:color="auto" w:fill="7F7F7F" w:themeFill="text1" w:themeFillTint="7F"/>
      </w:tcPr>
    </w:tblStylePr>
  </w:style>
  <w:style w:type="table" w:styleId="126">
    <w:name w:val="Colorful Grid Accent 1"/>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14:textFill>
          <w14:solidFill>
            <w14:schemeClr w14:val="tx1"/>
          </w14:solidFill>
        </w14:textFill>
      </w:rPr>
      <w:tblPr/>
      <w:tcPr>
        <w:shd w:val="clear" w:color="auto" w:fill="B8CCE4" w:themeFill="accent1" w:themeFillTint="66"/>
      </w:tcPr>
    </w:tblStylePr>
    <w:tblStylePr w:type="firstCol">
      <w:rPr>
        <w:color w:val="FFFFFF" w:themeColor="background1"/>
        <w14:textFill>
          <w14:solidFill>
            <w14:schemeClr w14:val="bg1"/>
          </w14:solidFill>
        </w14:textFill>
      </w:rPr>
      <w:tblPr/>
      <w:tcPr>
        <w:shd w:val="clear" w:color="auto" w:fill="366091" w:themeFill="accent1" w:themeFillShade="BF"/>
      </w:tcPr>
    </w:tblStylePr>
    <w:tblStylePr w:type="lastCol">
      <w:rPr>
        <w:color w:val="FFFFFF" w:themeColor="background1"/>
        <w14:textFill>
          <w14:solidFill>
            <w14:schemeClr w14:val="bg1"/>
          </w14:solidFill>
        </w14:textFill>
      </w:rPr>
      <w:tblPr/>
      <w:tcPr>
        <w:shd w:val="clear" w:color="auto" w:fill="366091" w:themeFill="accent1" w:themeFillShade="BF"/>
      </w:tcPr>
    </w:tblStylePr>
    <w:tblStylePr w:type="band1Vert">
      <w:tblPr/>
      <w:tcPr>
        <w:shd w:val="clear" w:color="auto" w:fill="A7C0DE" w:themeFill="accent1" w:themeFillTint="7F"/>
      </w:tcPr>
    </w:tblStylePr>
    <w:tblStylePr w:type="band1Horz">
      <w:tblPr/>
      <w:tcPr>
        <w:shd w:val="clear" w:color="auto" w:fill="A7C0DE" w:themeFill="accent1" w:themeFillTint="7F"/>
      </w:tcPr>
    </w:tblStylePr>
  </w:style>
  <w:style w:type="table" w:styleId="127">
    <w:name w:val="Colorful Grid Accent 2"/>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14:textFill>
          <w14:solidFill>
            <w14:schemeClr w14:val="tx1"/>
          </w14:solidFill>
        </w14:textFill>
      </w:rPr>
      <w:tblPr/>
      <w:tcPr>
        <w:shd w:val="clear" w:color="auto" w:fill="E5B8B7" w:themeFill="accent2" w:themeFillTint="66"/>
      </w:tcPr>
    </w:tblStylePr>
    <w:tblStylePr w:type="firstCol">
      <w:rPr>
        <w:color w:val="FFFFFF" w:themeColor="background1"/>
        <w14:textFill>
          <w14:solidFill>
            <w14:schemeClr w14:val="bg1"/>
          </w14:solidFill>
        </w14:textFill>
      </w:rPr>
      <w:tblPr/>
      <w:tcPr>
        <w:shd w:val="clear" w:color="auto" w:fill="943734" w:themeFill="accent2" w:themeFillShade="BF"/>
      </w:tcPr>
    </w:tblStylePr>
    <w:tblStylePr w:type="lastCol">
      <w:rPr>
        <w:color w:val="FFFFFF" w:themeColor="background1"/>
        <w14:textFill>
          <w14:solidFill>
            <w14:schemeClr w14:val="bg1"/>
          </w14:solidFill>
        </w14:textFill>
      </w:rPr>
      <w:tblPr/>
      <w:tcPr>
        <w:shd w:val="clear" w:color="auto" w:fill="9437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28">
    <w:name w:val="Colorful Grid Accent 3"/>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14:textFill>
          <w14:solidFill>
            <w14:schemeClr w14:val="tx1"/>
          </w14:solidFill>
        </w14:textFill>
      </w:rPr>
      <w:tblPr/>
      <w:tcPr>
        <w:shd w:val="clear" w:color="auto" w:fill="D6E3BC" w:themeFill="accent3" w:themeFillTint="66"/>
      </w:tcPr>
    </w:tblStylePr>
    <w:tblStylePr w:type="firstCol">
      <w:rPr>
        <w:color w:val="FFFFFF" w:themeColor="background1"/>
        <w14:textFill>
          <w14:solidFill>
            <w14:schemeClr w14:val="bg1"/>
          </w14:solidFill>
        </w14:textFill>
      </w:rPr>
      <w:tblPr/>
      <w:tcPr>
        <w:shd w:val="clear" w:color="auto" w:fill="76923C" w:themeFill="accent3" w:themeFillShade="BF"/>
      </w:tcPr>
    </w:tblStylePr>
    <w:tblStylePr w:type="lastCol">
      <w:rPr>
        <w:color w:val="FFFFFF" w:themeColor="background1"/>
        <w14:textFill>
          <w14:solidFill>
            <w14:schemeClr w14:val="bg1"/>
          </w14:solidFill>
        </w14:textFill>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29">
    <w:name w:val="Colorful Grid Accent 4"/>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14:textFill>
          <w14:solidFill>
            <w14:schemeClr w14:val="tx1"/>
          </w14:solidFill>
        </w14:textFill>
      </w:rPr>
      <w:tblPr/>
      <w:tcPr>
        <w:shd w:val="clear" w:color="auto" w:fill="CCC0D9" w:themeFill="accent4" w:themeFillTint="66"/>
      </w:tcPr>
    </w:tblStylePr>
    <w:tblStylePr w:type="firstCol">
      <w:rPr>
        <w:color w:val="FFFFFF" w:themeColor="background1"/>
        <w14:textFill>
          <w14:solidFill>
            <w14:schemeClr w14:val="bg1"/>
          </w14:solidFill>
        </w14:textFill>
      </w:rPr>
      <w:tblPr/>
      <w:tcPr>
        <w:shd w:val="clear" w:color="auto" w:fill="5F497A" w:themeFill="accent4" w:themeFillShade="BF"/>
      </w:tcPr>
    </w:tblStylePr>
    <w:tblStylePr w:type="lastCol">
      <w:rPr>
        <w:color w:val="FFFFFF" w:themeColor="background1"/>
        <w14:textFill>
          <w14:solidFill>
            <w14:schemeClr w14:val="bg1"/>
          </w14:solidFill>
        </w14:textFill>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30">
    <w:name w:val="Colorful Grid Accent 5"/>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14:textFill>
          <w14:solidFill>
            <w14:schemeClr w14:val="tx1"/>
          </w14:solidFill>
        </w14:textFill>
      </w:rPr>
      <w:tblPr/>
      <w:tcPr>
        <w:shd w:val="clear" w:color="auto" w:fill="B6DDE8" w:themeFill="accent5" w:themeFillTint="66"/>
      </w:tcPr>
    </w:tblStylePr>
    <w:tblStylePr w:type="firstCol">
      <w:rPr>
        <w:color w:val="FFFFFF" w:themeColor="background1"/>
        <w14:textFill>
          <w14:solidFill>
            <w14:schemeClr w14:val="bg1"/>
          </w14:solidFill>
        </w14:textFill>
      </w:rPr>
      <w:tblPr/>
      <w:tcPr>
        <w:shd w:val="clear" w:color="auto" w:fill="31849B" w:themeFill="accent5" w:themeFillShade="BF"/>
      </w:tcPr>
    </w:tblStylePr>
    <w:tblStylePr w:type="lastCol">
      <w:rPr>
        <w:color w:val="FFFFFF" w:themeColor="background1"/>
        <w14:textFill>
          <w14:solidFill>
            <w14:schemeClr w14:val="bg1"/>
          </w14:solidFill>
        </w14:textFill>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31">
    <w:name w:val="Colorful Grid Accent 6"/>
    <w:basedOn w:val="32"/>
    <w:uiPriority w:val="73"/>
    <w:pPr>
      <w:spacing w:after="0" w:line="240" w:lineRule="auto"/>
    </w:pPr>
    <w:rPr>
      <w:color w:val="000000" w:themeColor="text1"/>
      <w14:textFill>
        <w14:solidFill>
          <w14:schemeClr w14:val="tx1"/>
        </w14:solidFill>
      </w14:textFill>
    </w:rPr>
    <w:tblPr>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14:textFill>
          <w14:solidFill>
            <w14:schemeClr w14:val="tx1"/>
          </w14:solidFill>
        </w14:textFill>
      </w:rPr>
      <w:tblPr/>
      <w:tcPr>
        <w:shd w:val="clear" w:color="auto" w:fill="FBD4B4" w:themeFill="accent6" w:themeFillTint="66"/>
      </w:tcPr>
    </w:tblStylePr>
    <w:tblStylePr w:type="firstCol">
      <w:rPr>
        <w:color w:val="FFFFFF" w:themeColor="background1"/>
        <w14:textFill>
          <w14:solidFill>
            <w14:schemeClr w14:val="bg1"/>
          </w14:solidFill>
        </w14:textFill>
      </w:rPr>
      <w:tblPr/>
      <w:tcPr>
        <w:shd w:val="clear" w:color="auto" w:fill="E36C09" w:themeFill="accent6" w:themeFillShade="BF"/>
      </w:tcPr>
    </w:tblStylePr>
    <w:tblStylePr w:type="lastCol">
      <w:rPr>
        <w:color w:val="FFFFFF" w:themeColor="background1"/>
        <w14:textFill>
          <w14:solidFill>
            <w14:schemeClr w14:val="bg1"/>
          </w14:solidFill>
        </w14:textFill>
      </w:rPr>
      <w:tblPr/>
      <w:tcPr>
        <w:shd w:val="clear" w:color="auto" w:fill="E36C09"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133">
    <w:name w:val="Strong"/>
    <w:basedOn w:val="132"/>
    <w:qFormat/>
    <w:uiPriority w:val="22"/>
    <w:rPr>
      <w:b/>
      <w:bCs/>
    </w:rPr>
  </w:style>
  <w:style w:type="character" w:styleId="134">
    <w:name w:val="Emphasis"/>
    <w:basedOn w:val="132"/>
    <w:qFormat/>
    <w:uiPriority w:val="20"/>
    <w:rPr>
      <w:i/>
      <w:iCs/>
    </w:rPr>
  </w:style>
  <w:style w:type="character" w:customStyle="1" w:styleId="135">
    <w:name w:val="Header Char"/>
    <w:basedOn w:val="132"/>
    <w:link w:val="25"/>
    <w:qFormat/>
    <w:uiPriority w:val="99"/>
  </w:style>
  <w:style w:type="character" w:customStyle="1" w:styleId="136">
    <w:name w:val="Footer Char"/>
    <w:basedOn w:val="132"/>
    <w:link w:val="24"/>
    <w:qFormat/>
    <w:uiPriority w:val="99"/>
  </w:style>
  <w:style w:type="paragraph" w:styleId="137">
    <w:name w:val="No Spacing"/>
    <w:qFormat/>
    <w:uiPriority w:val="1"/>
    <w:pPr>
      <w:spacing w:after="0" w:line="240" w:lineRule="auto"/>
    </w:pPr>
    <w:rPr>
      <w:rFonts w:asciiTheme="minorHAnsi" w:hAnsiTheme="minorHAnsi" w:eastAsiaTheme="minorEastAsia" w:cstheme="minorBidi"/>
      <w:sz w:val="22"/>
      <w:szCs w:val="22"/>
      <w:lang w:val="en-US" w:eastAsia="en-US" w:bidi="ar-SA"/>
    </w:rPr>
  </w:style>
  <w:style w:type="character" w:customStyle="1" w:styleId="138">
    <w:name w:val="Heading 1 Char"/>
    <w:basedOn w:val="132"/>
    <w:link w:val="3"/>
    <w:uiPriority w:val="9"/>
    <w:rPr>
      <w:rFonts w:asciiTheme="majorHAnsi" w:hAnsiTheme="majorHAnsi" w:eastAsiaTheme="majorEastAsia" w:cstheme="majorBidi"/>
      <w:b/>
      <w:bCs/>
      <w:color w:val="376092" w:themeColor="accent1" w:themeShade="BF"/>
      <w:sz w:val="28"/>
      <w:szCs w:val="28"/>
    </w:rPr>
  </w:style>
  <w:style w:type="character" w:customStyle="1" w:styleId="139">
    <w:name w:val="Heading 2 Char"/>
    <w:basedOn w:val="132"/>
    <w:link w:val="4"/>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140">
    <w:name w:val="Heading 3 Char"/>
    <w:basedOn w:val="132"/>
    <w:link w:val="5"/>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141">
    <w:name w:val="Title Char"/>
    <w:basedOn w:val="132"/>
    <w:link w:val="31"/>
    <w:uiPriority w:val="10"/>
    <w:rPr>
      <w:rFonts w:asciiTheme="majorHAnsi" w:hAnsiTheme="majorHAnsi" w:eastAsiaTheme="majorEastAsia" w:cstheme="majorBidi"/>
      <w:color w:val="17375E" w:themeColor="text2" w:themeShade="BF"/>
      <w:spacing w:val="5"/>
      <w:kern w:val="28"/>
      <w:sz w:val="52"/>
      <w:szCs w:val="52"/>
    </w:rPr>
  </w:style>
  <w:style w:type="character" w:customStyle="1" w:styleId="142">
    <w:name w:val="Subtitle Char"/>
    <w:basedOn w:val="132"/>
    <w:link w:val="26"/>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paragraph" w:styleId="143">
    <w:name w:val="List Paragraph"/>
    <w:basedOn w:val="1"/>
    <w:qFormat/>
    <w:uiPriority w:val="34"/>
    <w:pPr>
      <w:ind w:left="720"/>
      <w:contextualSpacing/>
    </w:pPr>
  </w:style>
  <w:style w:type="character" w:customStyle="1" w:styleId="144">
    <w:name w:val="Body Text Char"/>
    <w:basedOn w:val="132"/>
    <w:link w:val="19"/>
    <w:uiPriority w:val="99"/>
  </w:style>
  <w:style w:type="character" w:customStyle="1" w:styleId="145">
    <w:name w:val="Body Text 2 Char"/>
    <w:basedOn w:val="132"/>
    <w:link w:val="28"/>
    <w:uiPriority w:val="99"/>
  </w:style>
  <w:style w:type="character" w:customStyle="1" w:styleId="146">
    <w:name w:val="Body Text 3 Char"/>
    <w:basedOn w:val="132"/>
    <w:link w:val="17"/>
    <w:uiPriority w:val="99"/>
    <w:rPr>
      <w:sz w:val="16"/>
      <w:szCs w:val="16"/>
    </w:rPr>
  </w:style>
  <w:style w:type="character" w:customStyle="1" w:styleId="147">
    <w:name w:val="Macro Text Char"/>
    <w:basedOn w:val="132"/>
    <w:link w:val="2"/>
    <w:uiPriority w:val="99"/>
    <w:rPr>
      <w:rFonts w:ascii="Courier" w:hAnsi="Courier"/>
      <w:sz w:val="20"/>
      <w:szCs w:val="20"/>
    </w:rPr>
  </w:style>
  <w:style w:type="paragraph" w:styleId="148">
    <w:name w:val="Quote"/>
    <w:basedOn w:val="1"/>
    <w:next w:val="1"/>
    <w:link w:val="149"/>
    <w:qFormat/>
    <w:uiPriority w:val="29"/>
    <w:rPr>
      <w:i/>
      <w:iCs/>
      <w:color w:val="000000" w:themeColor="text1"/>
      <w14:textFill>
        <w14:solidFill>
          <w14:schemeClr w14:val="tx1"/>
        </w14:solidFill>
      </w14:textFill>
    </w:rPr>
  </w:style>
  <w:style w:type="character" w:customStyle="1" w:styleId="149">
    <w:name w:val="Quote Char"/>
    <w:basedOn w:val="132"/>
    <w:link w:val="148"/>
    <w:uiPriority w:val="29"/>
    <w:rPr>
      <w:i/>
      <w:iCs/>
      <w:color w:val="000000" w:themeColor="text1"/>
      <w14:textFill>
        <w14:solidFill>
          <w14:schemeClr w14:val="tx1"/>
        </w14:solidFill>
      </w14:textFill>
    </w:rPr>
  </w:style>
  <w:style w:type="character" w:customStyle="1" w:styleId="150">
    <w:name w:val="Heading 4 Char"/>
    <w:basedOn w:val="132"/>
    <w:link w:val="6"/>
    <w:semiHidden/>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151">
    <w:name w:val="Heading 5 Char"/>
    <w:basedOn w:val="132"/>
    <w:link w:val="7"/>
    <w:semiHidden/>
    <w:uiPriority w:val="9"/>
    <w:rPr>
      <w:rFonts w:asciiTheme="majorHAnsi" w:hAnsiTheme="majorHAnsi" w:eastAsiaTheme="majorEastAsia" w:cstheme="majorBidi"/>
      <w:color w:val="254061" w:themeColor="accent1" w:themeShade="80"/>
    </w:rPr>
  </w:style>
  <w:style w:type="character" w:customStyle="1" w:styleId="152">
    <w:name w:val="Heading 6 Char"/>
    <w:basedOn w:val="132"/>
    <w:link w:val="8"/>
    <w:semiHidden/>
    <w:uiPriority w:val="9"/>
    <w:rPr>
      <w:rFonts w:asciiTheme="majorHAnsi" w:hAnsiTheme="majorHAnsi" w:eastAsiaTheme="majorEastAsia" w:cstheme="majorBidi"/>
      <w:i/>
      <w:iCs/>
      <w:color w:val="254061" w:themeColor="accent1" w:themeShade="80"/>
    </w:rPr>
  </w:style>
  <w:style w:type="character" w:customStyle="1" w:styleId="153">
    <w:name w:val="Heading 7 Char"/>
    <w:basedOn w:val="132"/>
    <w:link w:val="9"/>
    <w:semiHidden/>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154">
    <w:name w:val="Heading 8 Char"/>
    <w:basedOn w:val="132"/>
    <w:link w:val="10"/>
    <w:semiHidden/>
    <w:uiPriority w:val="9"/>
    <w:rPr>
      <w:rFonts w:asciiTheme="majorHAnsi" w:hAnsiTheme="majorHAnsi" w:eastAsiaTheme="majorEastAsia" w:cstheme="majorBidi"/>
      <w:color w:val="4F81BD" w:themeColor="accent1"/>
      <w:sz w:val="20"/>
      <w:szCs w:val="20"/>
      <w14:textFill>
        <w14:solidFill>
          <w14:schemeClr w14:val="accent1"/>
        </w14:solidFill>
      </w14:textFill>
    </w:rPr>
  </w:style>
  <w:style w:type="character" w:customStyle="1" w:styleId="155">
    <w:name w:val="Heading 9 Char"/>
    <w:basedOn w:val="132"/>
    <w:link w:val="11"/>
    <w:semiHidden/>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styleId="156">
    <w:name w:val="Intense Quote"/>
    <w:basedOn w:val="1"/>
    <w:next w:val="1"/>
    <w:link w:val="157"/>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157">
    <w:name w:val="Intense Quote Char"/>
    <w:basedOn w:val="132"/>
    <w:link w:val="156"/>
    <w:uiPriority w:val="30"/>
    <w:rPr>
      <w:b/>
      <w:bCs/>
      <w:i/>
      <w:iCs/>
      <w:color w:val="4F81BD" w:themeColor="accent1"/>
      <w14:textFill>
        <w14:solidFill>
          <w14:schemeClr w14:val="accent1"/>
        </w14:solidFill>
      </w14:textFill>
    </w:rPr>
  </w:style>
  <w:style w:type="character" w:customStyle="1" w:styleId="158">
    <w:name w:val="Subtle Emphasis"/>
    <w:basedOn w:val="132"/>
    <w:qFormat/>
    <w:uiPriority w:val="19"/>
    <w:rPr>
      <w:i/>
      <w:iCs/>
      <w:color w:val="808080" w:themeColor="text1" w:themeTint="80"/>
      <w14:textFill>
        <w14:solidFill>
          <w14:schemeClr w14:val="tx1">
            <w14:lumMod w14:val="50000"/>
            <w14:lumOff w14:val="50000"/>
          </w14:schemeClr>
        </w14:solidFill>
      </w14:textFill>
    </w:rPr>
  </w:style>
  <w:style w:type="character" w:customStyle="1" w:styleId="159">
    <w:name w:val="Intense Emphasis"/>
    <w:basedOn w:val="132"/>
    <w:qFormat/>
    <w:uiPriority w:val="21"/>
    <w:rPr>
      <w:b/>
      <w:bCs/>
      <w:i/>
      <w:iCs/>
      <w:color w:val="4F81BD" w:themeColor="accent1"/>
      <w14:textFill>
        <w14:solidFill>
          <w14:schemeClr w14:val="accent1"/>
        </w14:solidFill>
      </w14:textFill>
    </w:rPr>
  </w:style>
  <w:style w:type="character" w:customStyle="1" w:styleId="160">
    <w:name w:val="Subtle Reference"/>
    <w:basedOn w:val="132"/>
    <w:qFormat/>
    <w:uiPriority w:val="31"/>
    <w:rPr>
      <w:smallCaps/>
      <w:color w:val="C0504D" w:themeColor="accent2"/>
      <w:u w:val="single"/>
      <w14:textFill>
        <w14:solidFill>
          <w14:schemeClr w14:val="accent2"/>
        </w14:solidFill>
      </w14:textFill>
    </w:rPr>
  </w:style>
  <w:style w:type="character" w:customStyle="1" w:styleId="161">
    <w:name w:val="Intense Reference"/>
    <w:basedOn w:val="132"/>
    <w:qFormat/>
    <w:uiPriority w:val="32"/>
    <w:rPr>
      <w:b/>
      <w:bCs/>
      <w:smallCaps/>
      <w:color w:val="C0504D" w:themeColor="accent2"/>
      <w:spacing w:val="5"/>
      <w:u w:val="single"/>
      <w14:textFill>
        <w14:solidFill>
          <w14:schemeClr w14:val="accent2"/>
        </w14:solidFill>
      </w14:textFill>
    </w:rPr>
  </w:style>
  <w:style w:type="character" w:customStyle="1" w:styleId="162">
    <w:name w:val="Book Title"/>
    <w:basedOn w:val="132"/>
    <w:qFormat/>
    <w:uiPriority w:val="33"/>
    <w:rPr>
      <w:b/>
      <w:bCs/>
      <w:smallCaps/>
      <w:spacing w:val="5"/>
    </w:rPr>
  </w:style>
  <w:style w:type="paragraph" w:customStyle="1" w:styleId="163">
    <w:name w:val="TOC Heading"/>
    <w:basedOn w:val="3"/>
    <w:next w:val="1"/>
    <w:semiHidden/>
    <w:unhideWhenUsed/>
    <w:qFormat/>
    <w:uiPriority w:val="39"/>
    <w:pPr>
      <w:outlineLvl w:val="9"/>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datastoreItem>
</file>

<file path=docProps/app.xml><?xml version="1.0" encoding="utf-8"?>
<Properties xmlns="http://schemas.openxmlformats.org/officeDocument/2006/extended-properties" xmlns:vt="http://schemas.openxmlformats.org/officeDocument/2006/docPropsVTypes">
  <Template>Normal.dotm</Template>
  <Pages>13</Pages>
  <Words>0</Words>
  <Characters>0</Characters>
  <Lines>0</Lines>
  <Paragraphs>0</Paragraphs>
  <TotalTime>0</TotalTime>
  <ScaleCrop>false</ScaleCrop>
  <LinksUpToDate>false</LinksUpToDate>
  <CharactersWithSpaces>0</CharactersWithSpaces>
  <Application>WPS Office_12.9.0.26867_F1E327BC-269C-435d-A152-05C5408002CA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2013-12-24T07:15:00Z</dcterms:created>
  <dc:creator>python-docx</dc:creator>
  <dc:description>generated by python-docx</dc:description>
  <cp:lastModifiedBy>何维胜</cp:lastModifiedBy>
  <dcterms:modified xsi:type="dcterms:W3CDTF">2026-06-14T17:17:50Z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IGC">
    <vt:lpwstr>{"Label": "1", "ContentProducer": "001191320114777023172010000", "ProduceID": "voiceassistant-fd66f5d73d18a3d2", "ReservedCode1": "", "ContentPropagator": "001191320114777023172010000", "PropagateID": "voiceassistant-fd66f5d73d18a3d2"}</vt:lpwstr>
  </property>
  <property fmtid="{D5CDD505-2E9C-101B-9397-08002B2CF9AE}" pid="3" name="KSOProductBuildVer">
    <vt:lpwstr>2052-12.9.0.26867</vt:lpwstr>
  </property>
  <property fmtid="{D5CDD505-2E9C-101B-9397-08002B2CF9AE}" pid="4" name="ICV">
    <vt:lpwstr>403C141ED29BF534BE712E6ACD412ED9_42</vt:lpwstr>
  </property>
</Properties>
</file>