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CE931B">
      <w:pPr>
        <w:pStyle w:val="2"/>
        <w:keepNext w:val="0"/>
        <w:keepLines w:val="0"/>
        <w:pageBreakBefore w:val="0"/>
        <w:widowControl w:val="0"/>
        <w:kinsoku/>
        <w:wordWrap/>
        <w:overflowPunct/>
        <w:topLinePunct w:val="0"/>
        <w:autoSpaceDE w:val="0"/>
        <w:autoSpaceDN w:val="0"/>
        <w:bidi w:val="0"/>
        <w:adjustRightInd/>
        <w:snapToGrid/>
        <w:spacing w:before="0" w:after="0" w:afterLines="50"/>
        <w:jc w:val="center"/>
        <w:textAlignment w:val="auto"/>
        <w:rPr>
          <w:rFonts w:hint="eastAsia" w:ascii="创艺简标宋" w:hAnsi="创艺简标宋" w:eastAsia="创艺简标宋" w:cs="创艺简标宋"/>
          <w:b w:val="0"/>
          <w:bCs w:val="0"/>
          <w:sz w:val="36"/>
          <w:szCs w:val="36"/>
        </w:rPr>
      </w:pPr>
      <w:r>
        <w:rPr>
          <w:rFonts w:hint="eastAsia" w:ascii="创艺简标宋" w:hAnsi="创艺简标宋" w:eastAsia="创艺简标宋" w:cs="创艺简标宋"/>
          <w:b w:val="0"/>
          <w:bCs w:val="0"/>
          <w:sz w:val="36"/>
          <w:szCs w:val="36"/>
        </w:rPr>
        <w:t>《煤矿重大事故隐患判定标准》</w:t>
      </w:r>
      <w:r>
        <w:rPr>
          <w:rFonts w:hint="eastAsia" w:ascii="创艺简标宋" w:hAnsi="创艺简标宋" w:eastAsia="创艺简标宋" w:cs="创艺简标宋"/>
          <w:b w:val="0"/>
          <w:bCs w:val="0"/>
          <w:sz w:val="36"/>
          <w:szCs w:val="36"/>
          <w:lang w:val="en-US" w:eastAsia="zh-CN"/>
        </w:rPr>
        <w:t>新旧条款</w:t>
      </w:r>
      <w:r>
        <w:rPr>
          <w:rFonts w:hint="eastAsia" w:ascii="创艺简标宋" w:hAnsi="创艺简标宋" w:eastAsia="创艺简标宋" w:cs="创艺简标宋"/>
          <w:b w:val="0"/>
          <w:bCs w:val="0"/>
          <w:sz w:val="36"/>
          <w:szCs w:val="36"/>
        </w:rPr>
        <w:t>对比</w:t>
      </w:r>
    </w:p>
    <w:p w14:paraId="08BFE170">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both"/>
        <w:textAlignment w:val="auto"/>
        <w:rPr>
          <w:rFonts w:hint="eastAsia" w:ascii="黑体" w:hAnsi="黑体" w:eastAsia="黑体" w:cs="黑体"/>
          <w:spacing w:val="0"/>
          <w:kern w:val="0"/>
          <w:sz w:val="21"/>
          <w:szCs w:val="21"/>
          <w:lang w:val="en-US" w:eastAsia="zh-CN" w:bidi="zh-CN"/>
        </w:rPr>
      </w:pPr>
    </w:p>
    <w:p w14:paraId="17FCC8B6">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left="0" w:leftChars="0" w:right="0" w:rightChars="0" w:firstLine="0" w:firstLineChars="0"/>
        <w:jc w:val="center"/>
        <w:textAlignment w:val="auto"/>
        <w:rPr>
          <w:rFonts w:hint="eastAsia" w:ascii="楷体_GB2312" w:hAnsi="楷体_GB2312" w:eastAsia="楷体_GB2312" w:cs="楷体_GB2312"/>
          <w:spacing w:val="0"/>
          <w:kern w:val="0"/>
          <w:sz w:val="21"/>
          <w:szCs w:val="21"/>
          <w:lang w:val="en-US" w:eastAsia="zh-CN" w:bidi="zh-CN"/>
        </w:rPr>
      </w:pPr>
      <w:r>
        <w:rPr>
          <w:rFonts w:hint="eastAsia" w:ascii="楷体_GB2312" w:hAnsi="楷体_GB2312" w:eastAsia="楷体_GB2312" w:cs="楷体_GB2312"/>
          <w:spacing w:val="0"/>
          <w:kern w:val="0"/>
          <w:sz w:val="21"/>
          <w:szCs w:val="21"/>
          <w:lang w:val="en-US" w:eastAsia="zh-CN" w:bidi="zh-CN"/>
        </w:rPr>
        <w:t>中华人民共和国应急管理部令</w:t>
      </w:r>
    </w:p>
    <w:p w14:paraId="27F8139F">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left="0" w:leftChars="0" w:right="0" w:rightChars="0" w:firstLine="0" w:firstLineChars="0"/>
        <w:jc w:val="center"/>
        <w:textAlignment w:val="auto"/>
        <w:rPr>
          <w:rFonts w:hint="eastAsia" w:ascii="楷体_GB2312" w:hAnsi="楷体_GB2312" w:eastAsia="楷体_GB2312" w:cs="楷体_GB2312"/>
          <w:spacing w:val="0"/>
          <w:kern w:val="0"/>
          <w:sz w:val="21"/>
          <w:szCs w:val="21"/>
          <w:lang w:val="en-US" w:eastAsia="zh-CN" w:bidi="zh-CN"/>
        </w:rPr>
      </w:pPr>
      <w:r>
        <w:rPr>
          <w:rFonts w:hint="eastAsia" w:ascii="楷体_GB2312" w:hAnsi="楷体_GB2312" w:eastAsia="楷体_GB2312" w:cs="楷体_GB2312"/>
          <w:spacing w:val="0"/>
          <w:kern w:val="0"/>
          <w:sz w:val="21"/>
          <w:szCs w:val="21"/>
          <w:lang w:val="en-US" w:eastAsia="zh-CN" w:bidi="zh-CN"/>
        </w:rPr>
        <w:t>第21号</w:t>
      </w:r>
    </w:p>
    <w:p w14:paraId="2DD96F1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both"/>
        <w:textAlignment w:val="auto"/>
        <w:rPr>
          <w:rFonts w:hint="eastAsia" w:ascii="仿宋_GB2312" w:hAnsi="仿宋_GB2312" w:eastAsia="仿宋_GB2312" w:cs="仿宋_GB2312"/>
          <w:spacing w:val="0"/>
          <w:kern w:val="0"/>
          <w:sz w:val="21"/>
          <w:szCs w:val="21"/>
          <w:lang w:val="en-US" w:eastAsia="zh-CN" w:bidi="zh-CN"/>
        </w:rPr>
      </w:pPr>
      <w:r>
        <w:rPr>
          <w:rFonts w:hint="eastAsia" w:ascii="仿宋_GB2312" w:hAnsi="仿宋_GB2312" w:eastAsia="仿宋_GB2312" w:cs="仿宋_GB2312"/>
          <w:spacing w:val="0"/>
          <w:kern w:val="0"/>
          <w:sz w:val="21"/>
          <w:szCs w:val="21"/>
          <w:lang w:val="en-US" w:eastAsia="zh-CN" w:bidi="zh-CN"/>
        </w:rPr>
        <w:t xml:space="preserve"> 《煤矿重大事故隐患判定标准》已经2026年5月6日应急管理部第12次部务会议修订通过，现予公布，自2026年7月1日起施行。</w:t>
      </w:r>
    </w:p>
    <w:p w14:paraId="3340096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both"/>
        <w:textAlignment w:val="auto"/>
        <w:rPr>
          <w:rFonts w:hint="eastAsia" w:ascii="仿宋_GB2312" w:hAnsi="仿宋_GB2312" w:eastAsia="仿宋_GB2312" w:cs="仿宋_GB2312"/>
          <w:spacing w:val="0"/>
          <w:kern w:val="0"/>
          <w:sz w:val="21"/>
          <w:szCs w:val="21"/>
          <w:lang w:val="en-US" w:eastAsia="zh-CN" w:bidi="zh-CN"/>
        </w:rPr>
      </w:pPr>
    </w:p>
    <w:p w14:paraId="385CE745">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right"/>
        <w:textAlignment w:val="auto"/>
        <w:rPr>
          <w:rFonts w:hint="eastAsia" w:ascii="仿宋_GB2312" w:hAnsi="仿宋_GB2312" w:eastAsia="仿宋_GB2312" w:cs="仿宋_GB2312"/>
          <w:spacing w:val="0"/>
          <w:kern w:val="0"/>
          <w:sz w:val="21"/>
          <w:szCs w:val="21"/>
          <w:lang w:val="en-US" w:eastAsia="zh-CN" w:bidi="zh-CN"/>
        </w:rPr>
      </w:pPr>
      <w:r>
        <w:rPr>
          <w:rFonts w:hint="eastAsia" w:ascii="仿宋_GB2312" w:hAnsi="仿宋_GB2312" w:eastAsia="仿宋_GB2312" w:cs="仿宋_GB2312"/>
          <w:spacing w:val="0"/>
          <w:kern w:val="0"/>
          <w:sz w:val="21"/>
          <w:szCs w:val="21"/>
          <w:lang w:val="en-US" w:eastAsia="zh-CN" w:bidi="zh-CN"/>
        </w:rPr>
        <w:t>部长 张成中</w:t>
      </w:r>
    </w:p>
    <w:p w14:paraId="64C9DC6E">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right"/>
        <w:textAlignment w:val="auto"/>
        <w:rPr>
          <w:rFonts w:hint="eastAsia" w:ascii="仿宋_GB2312" w:hAnsi="仿宋_GB2312" w:eastAsia="仿宋_GB2312" w:cs="仿宋_GB2312"/>
          <w:spacing w:val="0"/>
          <w:kern w:val="0"/>
          <w:sz w:val="21"/>
          <w:szCs w:val="21"/>
          <w:lang w:val="en-US" w:eastAsia="zh-CN" w:bidi="zh-CN"/>
        </w:rPr>
      </w:pPr>
      <w:r>
        <w:rPr>
          <w:rFonts w:hint="eastAsia" w:ascii="仿宋_GB2312" w:hAnsi="仿宋_GB2312" w:eastAsia="仿宋_GB2312" w:cs="仿宋_GB2312"/>
          <w:spacing w:val="0"/>
          <w:kern w:val="0"/>
          <w:sz w:val="21"/>
          <w:szCs w:val="21"/>
          <w:lang w:val="en-US" w:eastAsia="zh-CN" w:bidi="zh-CN"/>
        </w:rPr>
        <w:t>2026年5月24日</w:t>
      </w:r>
    </w:p>
    <w:p w14:paraId="6C2CF47B">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both"/>
        <w:textAlignment w:val="auto"/>
        <w:rPr>
          <w:rFonts w:hint="eastAsia" w:ascii="黑体" w:hAnsi="黑体" w:eastAsia="黑体" w:cs="黑体"/>
          <w:spacing w:val="0"/>
          <w:kern w:val="0"/>
          <w:sz w:val="21"/>
          <w:szCs w:val="21"/>
          <w:lang w:val="en-US" w:eastAsia="zh-CN" w:bidi="zh-CN"/>
        </w:rPr>
      </w:pPr>
    </w:p>
    <w:p w14:paraId="4316F503">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Lines="20" w:afterAutospacing="0" w:line="280" w:lineRule="exact"/>
        <w:ind w:right="0" w:rightChars="0"/>
        <w:jc w:val="both"/>
        <w:textAlignment w:val="auto"/>
        <w:rPr>
          <w:rFonts w:hint="eastAsia" w:ascii="黑体" w:hAnsi="黑体" w:eastAsia="黑体" w:cs="黑体"/>
          <w:spacing w:val="0"/>
          <w:kern w:val="0"/>
          <w:sz w:val="21"/>
          <w:szCs w:val="21"/>
          <w:lang w:val="en-US" w:eastAsia="zh-CN" w:bidi="zh-CN"/>
        </w:rPr>
      </w:pPr>
      <w:r>
        <w:rPr>
          <w:rFonts w:hint="eastAsia" w:ascii="黑体" w:hAnsi="黑体" w:eastAsia="黑体" w:cs="黑体"/>
          <w:spacing w:val="0"/>
          <w:kern w:val="0"/>
          <w:sz w:val="21"/>
          <w:szCs w:val="21"/>
          <w:lang w:val="en-US" w:eastAsia="zh-CN" w:bidi="zh-CN"/>
        </w:rPr>
        <w:t>注：</w:t>
      </w:r>
      <w:r>
        <w:rPr>
          <w:rFonts w:hint="eastAsia" w:ascii="黑体" w:hAnsi="黑体" w:eastAsia="黑体" w:cs="黑体"/>
          <w:color w:val="FF0000"/>
          <w:spacing w:val="0"/>
          <w:kern w:val="0"/>
          <w:sz w:val="21"/>
          <w:szCs w:val="21"/>
          <w:lang w:val="en-US" w:eastAsia="zh-CN" w:bidi="zh-CN"/>
        </w:rPr>
        <w:t>红色</w:t>
      </w:r>
      <w:r>
        <w:rPr>
          <w:rFonts w:hint="eastAsia" w:ascii="黑体" w:hAnsi="黑体" w:eastAsia="黑体" w:cs="黑体"/>
          <w:spacing w:val="0"/>
          <w:kern w:val="0"/>
          <w:sz w:val="21"/>
          <w:szCs w:val="21"/>
          <w:lang w:val="en-US" w:eastAsia="zh-CN" w:bidi="zh-CN"/>
        </w:rPr>
        <w:t>黑体字为新增内容，</w:t>
      </w:r>
      <w:r>
        <w:rPr>
          <w:rFonts w:hint="eastAsia" w:ascii="黑体" w:hAnsi="黑体" w:eastAsia="黑体" w:cs="黑体"/>
          <w:b/>
          <w:bCs/>
          <w:color w:val="009C46"/>
          <w:spacing w:val="0"/>
          <w:kern w:val="0"/>
          <w:sz w:val="21"/>
          <w:szCs w:val="21"/>
          <w:lang w:val="en-US" w:eastAsia="zh-CN" w:bidi="zh-CN"/>
        </w:rPr>
        <w:t>绿色</w:t>
      </w:r>
      <w:r>
        <w:rPr>
          <w:rFonts w:hint="eastAsia" w:ascii="黑体" w:hAnsi="黑体" w:eastAsia="黑体" w:cs="黑体"/>
          <w:spacing w:val="0"/>
          <w:kern w:val="0"/>
          <w:sz w:val="21"/>
          <w:szCs w:val="21"/>
          <w:lang w:val="en-US" w:eastAsia="zh-CN" w:bidi="zh-CN"/>
        </w:rPr>
        <w:t>黑体字为变更内容，</w:t>
      </w:r>
      <w:r>
        <w:rPr>
          <w:rFonts w:hint="eastAsia" w:ascii="黑体" w:hAnsi="黑体" w:eastAsia="黑体" w:cs="黑体"/>
          <w:strike w:val="0"/>
          <w:dstrike w:val="0"/>
          <w:color w:val="0000FF"/>
          <w:spacing w:val="0"/>
          <w:kern w:val="0"/>
          <w:sz w:val="21"/>
          <w:szCs w:val="21"/>
          <w:lang w:val="en-US" w:eastAsia="zh-CN" w:bidi="zh-CN"/>
        </w:rPr>
        <w:t>蓝色</w:t>
      </w:r>
      <w:r>
        <w:rPr>
          <w:rFonts w:hint="eastAsia" w:ascii="黑体" w:hAnsi="黑体" w:eastAsia="黑体" w:cs="黑体"/>
          <w:spacing w:val="0"/>
          <w:kern w:val="0"/>
          <w:sz w:val="21"/>
          <w:szCs w:val="21"/>
          <w:lang w:val="en-US" w:eastAsia="zh-CN" w:bidi="zh-CN"/>
        </w:rPr>
        <w:t>黑体字为删除内容</w:t>
      </w:r>
    </w:p>
    <w:tbl>
      <w:tblPr>
        <w:tblStyle w:val="6"/>
        <w:tblW w:w="9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501"/>
        <w:gridCol w:w="4501"/>
      </w:tblGrid>
      <w:tr w14:paraId="0B21A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tblHeader/>
          <w:jc w:val="center"/>
        </w:trPr>
        <w:tc>
          <w:tcPr>
            <w:tcW w:w="4501" w:type="dxa"/>
            <w:tcMar>
              <w:top w:w="57" w:type="dxa"/>
              <w:left w:w="57" w:type="dxa"/>
              <w:bottom w:w="57" w:type="dxa"/>
              <w:right w:w="57" w:type="dxa"/>
            </w:tcMar>
            <w:vAlign w:val="center"/>
          </w:tcPr>
          <w:p w14:paraId="6E44C4D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center"/>
              <w:textAlignment w:val="auto"/>
              <w:rPr>
                <w:rFonts w:hint="eastAsia" w:ascii="黑体" w:eastAsia="黑体"/>
                <w:spacing w:val="0"/>
                <w:sz w:val="21"/>
                <w:szCs w:val="21"/>
                <w:lang w:val="en-US" w:eastAsia="zh-CN"/>
              </w:rPr>
            </w:pPr>
            <w:r>
              <w:rPr>
                <w:rFonts w:hint="eastAsia" w:ascii="黑体" w:eastAsia="黑体"/>
                <w:spacing w:val="0"/>
                <w:sz w:val="21"/>
                <w:szCs w:val="21"/>
                <w:lang w:val="en-US" w:eastAsia="zh-CN"/>
              </w:rPr>
              <w:t>《煤矿重大事故隐患判定标准》</w:t>
            </w:r>
          </w:p>
          <w:p w14:paraId="7833396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center"/>
              <w:textAlignment w:val="auto"/>
              <w:rPr>
                <w:rFonts w:hint="default" w:ascii="黑体" w:eastAsia="黑体"/>
                <w:spacing w:val="0"/>
                <w:sz w:val="21"/>
                <w:szCs w:val="21"/>
                <w:lang w:val="en-US" w:eastAsia="zh-CN"/>
              </w:rPr>
            </w:pPr>
            <w:r>
              <w:rPr>
                <w:rFonts w:hint="eastAsia" w:ascii="黑体" w:eastAsia="黑体"/>
                <w:spacing w:val="0"/>
                <w:sz w:val="21"/>
                <w:szCs w:val="21"/>
                <w:lang w:val="en-US" w:eastAsia="zh-CN"/>
              </w:rPr>
              <w:t>2020版</w:t>
            </w:r>
          </w:p>
        </w:tc>
        <w:tc>
          <w:tcPr>
            <w:tcW w:w="4501" w:type="dxa"/>
            <w:tcMar>
              <w:top w:w="57" w:type="dxa"/>
              <w:left w:w="57" w:type="dxa"/>
              <w:bottom w:w="57" w:type="dxa"/>
              <w:right w:w="57" w:type="dxa"/>
            </w:tcMar>
            <w:vAlign w:val="center"/>
          </w:tcPr>
          <w:p w14:paraId="72C2CA8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center"/>
              <w:textAlignment w:val="auto"/>
              <w:rPr>
                <w:rFonts w:hint="eastAsia" w:ascii="黑体" w:eastAsia="黑体"/>
                <w:spacing w:val="0"/>
                <w:sz w:val="21"/>
                <w:szCs w:val="21"/>
                <w:lang w:val="en-US" w:eastAsia="zh-CN"/>
              </w:rPr>
            </w:pPr>
            <w:r>
              <w:rPr>
                <w:rFonts w:hint="eastAsia" w:ascii="黑体" w:eastAsia="黑体"/>
                <w:spacing w:val="0"/>
                <w:sz w:val="21"/>
                <w:szCs w:val="21"/>
                <w:lang w:val="en-US" w:eastAsia="zh-CN"/>
              </w:rPr>
              <w:t>《煤矿重大事故隐患判定标准》</w:t>
            </w:r>
          </w:p>
          <w:p w14:paraId="6F59F84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center"/>
              <w:textAlignment w:val="auto"/>
              <w:rPr>
                <w:rFonts w:hint="default" w:ascii="仿宋_GB2312" w:hAnsi="仿宋_GB2312" w:eastAsia="仿宋_GB2312" w:cs="仿宋_GB2312"/>
                <w:spacing w:val="0"/>
                <w:sz w:val="21"/>
                <w:szCs w:val="21"/>
                <w:lang w:val="en-US" w:eastAsia="zh-CN"/>
              </w:rPr>
            </w:pPr>
            <w:r>
              <w:rPr>
                <w:rFonts w:hint="eastAsia" w:ascii="黑体" w:eastAsia="黑体"/>
                <w:spacing w:val="0"/>
                <w:sz w:val="21"/>
                <w:szCs w:val="21"/>
                <w:lang w:val="en-US" w:eastAsia="zh-CN"/>
              </w:rPr>
              <w:t>2026版</w:t>
            </w:r>
          </w:p>
        </w:tc>
      </w:tr>
      <w:tr w14:paraId="25B2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033F222">
            <w:pPr>
              <w:pStyle w:val="5"/>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80" w:lineRule="exact"/>
              <w:ind w:right="0" w:rightChars="0"/>
              <w:jc w:val="both"/>
              <w:textAlignment w:val="auto"/>
              <w:rPr>
                <w:rFonts w:hint="eastAsia" w:ascii="仿宋_GB2312" w:hAnsi="仿宋_GB2312" w:eastAsia="仿宋_GB2312" w:cs="仿宋_GB2312"/>
                <w:spacing w:val="0"/>
                <w:kern w:val="0"/>
                <w:sz w:val="21"/>
                <w:szCs w:val="21"/>
                <w:lang w:val="zh-CN" w:eastAsia="zh-CN" w:bidi="zh-CN"/>
              </w:rPr>
            </w:pPr>
            <w:r>
              <w:rPr>
                <w:rFonts w:hint="eastAsia" w:ascii="黑体" w:hAnsi="黑体" w:eastAsia="黑体" w:cs="黑体"/>
                <w:b w:val="0"/>
                <w:bCs/>
                <w:spacing w:val="0"/>
                <w:sz w:val="21"/>
                <w:szCs w:val="21"/>
              </w:rPr>
              <w:t>第一条</w:t>
            </w:r>
            <w:r>
              <w:rPr>
                <w:rFonts w:hint="eastAsia" w:ascii="黑体" w:hAnsi="黑体" w:eastAsia="黑体" w:cs="黑体"/>
                <w:b w:val="0"/>
                <w:bCs/>
                <w:spacing w:val="0"/>
                <w:sz w:val="21"/>
                <w:szCs w:val="21"/>
                <w:lang w:val="en-US" w:eastAsia="zh-CN"/>
              </w:rPr>
              <w:t xml:space="preserve"> </w:t>
            </w:r>
            <w:r>
              <w:rPr>
                <w:rFonts w:hint="eastAsia" w:ascii="仿宋_GB2312" w:hAnsi="仿宋_GB2312" w:eastAsia="仿宋_GB2312" w:cs="仿宋_GB2312"/>
                <w:spacing w:val="0"/>
                <w:kern w:val="0"/>
                <w:sz w:val="21"/>
                <w:szCs w:val="21"/>
                <w:lang w:val="zh-CN" w:eastAsia="zh-CN" w:bidi="zh-CN"/>
              </w:rPr>
              <w:t>为了准确认定、及时消除煤矿重大事故隐患，根据《中华人民共和国安全生产法》</w:t>
            </w:r>
            <w:r>
              <w:rPr>
                <w:rFonts w:hint="eastAsia" w:ascii="黑体" w:hAnsi="黑体" w:eastAsia="黑体" w:cs="黑体"/>
                <w:strike/>
                <w:dstrike w:val="0"/>
                <w:color w:val="0000FF"/>
                <w:spacing w:val="0"/>
                <w:kern w:val="0"/>
                <w:sz w:val="21"/>
                <w:szCs w:val="21"/>
                <w:lang w:val="zh-CN" w:eastAsia="zh-CN" w:bidi="zh-CN"/>
              </w:rPr>
              <w:t>和《国务院关于预防煤矿生产安全事故的特别规定》（国务院令第446号）</w:t>
            </w:r>
            <w:r>
              <w:rPr>
                <w:rFonts w:hint="eastAsia" w:ascii="仿宋_GB2312" w:hAnsi="仿宋_GB2312" w:eastAsia="仿宋_GB2312" w:cs="仿宋_GB2312"/>
                <w:spacing w:val="0"/>
                <w:kern w:val="0"/>
                <w:sz w:val="21"/>
                <w:szCs w:val="21"/>
                <w:lang w:val="zh-CN" w:eastAsia="zh-CN" w:bidi="zh-CN"/>
              </w:rPr>
              <w:t>等法律、行政法规，制定本标准。</w:t>
            </w:r>
          </w:p>
        </w:tc>
        <w:tc>
          <w:tcPr>
            <w:tcW w:w="4501" w:type="dxa"/>
            <w:tcMar>
              <w:top w:w="57" w:type="dxa"/>
              <w:left w:w="57" w:type="dxa"/>
              <w:bottom w:w="57" w:type="dxa"/>
              <w:right w:w="57" w:type="dxa"/>
            </w:tcMar>
            <w:vAlign w:val="top"/>
          </w:tcPr>
          <w:p w14:paraId="067701D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spacing w:val="0"/>
                <w:sz w:val="21"/>
                <w:szCs w:val="21"/>
              </w:rPr>
            </w:pPr>
            <w:r>
              <w:rPr>
                <w:rFonts w:hint="eastAsia" w:ascii="黑体" w:hAnsi="黑体" w:eastAsia="黑体" w:cs="黑体"/>
                <w:b w:val="0"/>
                <w:bCs/>
                <w:spacing w:val="0"/>
                <w:sz w:val="21"/>
                <w:szCs w:val="21"/>
              </w:rPr>
              <w:t>第一条</w:t>
            </w:r>
            <w:r>
              <w:rPr>
                <w:rFonts w:hint="eastAsia" w:ascii="黑体" w:hAnsi="黑体" w:eastAsia="黑体" w:cs="黑体"/>
                <w:b w:val="0"/>
                <w:bCs/>
                <w:spacing w:val="0"/>
                <w:sz w:val="21"/>
                <w:szCs w:val="21"/>
                <w:lang w:val="en-US" w:eastAsia="zh-CN"/>
              </w:rPr>
              <w:t xml:space="preserve"> </w:t>
            </w:r>
            <w:r>
              <w:rPr>
                <w:rFonts w:hint="eastAsia" w:ascii="仿宋_GB2312" w:hAnsi="仿宋_GB2312" w:eastAsia="仿宋_GB2312" w:cs="仿宋_GB2312"/>
                <w:spacing w:val="0"/>
                <w:sz w:val="21"/>
                <w:szCs w:val="21"/>
              </w:rPr>
              <w:t>为了准确认定、及时消除煤矿重大事故隐患，根据《中华人民共和国安全生产法》</w:t>
            </w:r>
            <w:r>
              <w:rPr>
                <w:rFonts w:hint="eastAsia" w:ascii="黑体" w:hAnsi="黑体" w:eastAsia="黑体" w:cs="黑体"/>
                <w:color w:val="FF0000"/>
                <w:spacing w:val="0"/>
                <w:sz w:val="21"/>
                <w:szCs w:val="21"/>
              </w:rPr>
              <w:t>《煤矿安全生产条例》</w:t>
            </w:r>
            <w:r>
              <w:rPr>
                <w:rFonts w:hint="eastAsia" w:ascii="仿宋_GB2312" w:hAnsi="仿宋_GB2312" w:eastAsia="仿宋_GB2312" w:cs="仿宋_GB2312"/>
                <w:spacing w:val="0"/>
                <w:sz w:val="21"/>
                <w:szCs w:val="21"/>
              </w:rPr>
              <w:t>等法律、行政法规，制定本标准。</w:t>
            </w:r>
          </w:p>
        </w:tc>
      </w:tr>
      <w:tr w14:paraId="041D2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2590715">
            <w:pPr>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kern w:val="0"/>
                <w:sz w:val="21"/>
                <w:szCs w:val="21"/>
                <w:lang w:val="zh-CN" w:eastAsia="zh-CN" w:bidi="zh-CN"/>
              </w:rPr>
            </w:pPr>
            <w:r>
              <w:rPr>
                <w:rFonts w:hint="eastAsia" w:ascii="黑体" w:hAnsi="黑体" w:eastAsia="黑体" w:cs="黑体"/>
                <w:b w:val="0"/>
                <w:bCs/>
                <w:spacing w:val="0"/>
                <w:sz w:val="21"/>
                <w:szCs w:val="21"/>
              </w:rPr>
              <w:t>第二条</w:t>
            </w:r>
            <w:r>
              <w:rPr>
                <w:rFonts w:hint="eastAsia" w:ascii="黑体" w:hAnsi="黑体" w:eastAsia="黑体" w:cs="黑体"/>
                <w:b w:val="0"/>
                <w:bCs/>
                <w:spacing w:val="0"/>
                <w:sz w:val="21"/>
                <w:szCs w:val="21"/>
                <w:lang w:val="en-US" w:eastAsia="zh-CN"/>
              </w:rPr>
              <w:t xml:space="preserve"> </w:t>
            </w:r>
            <w:r>
              <w:rPr>
                <w:rFonts w:hint="eastAsia" w:ascii="仿宋_GB2312" w:hAnsi="仿宋_GB2312" w:eastAsia="仿宋_GB2312" w:cs="仿宋_GB2312"/>
                <w:spacing w:val="0"/>
                <w:kern w:val="0"/>
                <w:sz w:val="21"/>
                <w:szCs w:val="21"/>
                <w:lang w:val="zh-CN" w:eastAsia="zh-CN" w:bidi="zh-CN"/>
              </w:rPr>
              <w:t>本标准适用于判定各类煤矿重大事故隐患。</w:t>
            </w:r>
          </w:p>
        </w:tc>
        <w:tc>
          <w:tcPr>
            <w:tcW w:w="4501" w:type="dxa"/>
            <w:tcMar>
              <w:top w:w="57" w:type="dxa"/>
              <w:left w:w="57" w:type="dxa"/>
              <w:bottom w:w="57" w:type="dxa"/>
              <w:right w:w="57" w:type="dxa"/>
            </w:tcMar>
            <w:vAlign w:val="top"/>
          </w:tcPr>
          <w:p w14:paraId="7795C43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spacing w:val="0"/>
                <w:sz w:val="21"/>
                <w:szCs w:val="21"/>
              </w:rPr>
            </w:pPr>
            <w:r>
              <w:rPr>
                <w:rFonts w:hint="eastAsia" w:ascii="黑体" w:hAnsi="黑体" w:eastAsia="黑体" w:cs="黑体"/>
                <w:b w:val="0"/>
                <w:bCs/>
                <w:spacing w:val="0"/>
                <w:sz w:val="21"/>
                <w:szCs w:val="21"/>
              </w:rPr>
              <w:t>第二条</w:t>
            </w:r>
            <w:r>
              <w:rPr>
                <w:rFonts w:hint="eastAsia" w:ascii="仿宋_GB2312" w:hAnsi="仿宋_GB2312" w:eastAsia="仿宋_GB2312" w:cs="仿宋_GB2312"/>
                <w:spacing w:val="0"/>
                <w:sz w:val="21"/>
                <w:szCs w:val="21"/>
                <w:lang w:val="en-US" w:eastAsia="zh-CN"/>
              </w:rPr>
              <w:t xml:space="preserve"> </w:t>
            </w:r>
            <w:r>
              <w:rPr>
                <w:rFonts w:hint="eastAsia" w:ascii="仿宋_GB2312" w:hAnsi="仿宋_GB2312" w:eastAsia="仿宋_GB2312" w:cs="仿宋_GB2312"/>
                <w:spacing w:val="0"/>
                <w:sz w:val="21"/>
                <w:szCs w:val="21"/>
              </w:rPr>
              <w:t>本标准适用于判定各类煤矿重大事故隐患</w:t>
            </w:r>
            <w:r>
              <w:rPr>
                <w:rFonts w:hint="eastAsia" w:ascii="仿宋_GB2312" w:hAnsi="仿宋_GB2312" w:eastAsia="仿宋_GB2312" w:cs="仿宋_GB2312"/>
                <w:spacing w:val="0"/>
                <w:sz w:val="21"/>
                <w:szCs w:val="21"/>
                <w:lang w:eastAsia="zh-CN"/>
              </w:rPr>
              <w:t>。</w:t>
            </w:r>
          </w:p>
        </w:tc>
      </w:tr>
      <w:tr w14:paraId="24A2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5E8D4A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spacing w:val="0"/>
                <w:sz w:val="21"/>
                <w:szCs w:val="21"/>
              </w:rPr>
              <w:t>第三条</w:t>
            </w:r>
            <w:r>
              <w:rPr>
                <w:rFonts w:hint="eastAsia" w:ascii="黑体" w:hAnsi="黑体" w:eastAsia="黑体" w:cs="黑体"/>
                <w:b w:val="0"/>
                <w:bCs/>
                <w:spacing w:val="0"/>
                <w:sz w:val="21"/>
                <w:szCs w:val="21"/>
                <w:lang w:val="en-US" w:eastAsia="zh-CN"/>
              </w:rPr>
              <w:t xml:space="preserve"> </w:t>
            </w:r>
            <w:r>
              <w:rPr>
                <w:rFonts w:hint="eastAsia" w:ascii="仿宋_GB2312" w:hAnsi="仿宋_GB2312" w:eastAsia="仿宋_GB2312" w:cs="仿宋_GB2312"/>
                <w:spacing w:val="0"/>
                <w:sz w:val="21"/>
                <w:szCs w:val="21"/>
              </w:rPr>
              <w:t>煤矿重大事故隐患包括下列15个方面：</w:t>
            </w:r>
          </w:p>
          <w:p w14:paraId="080115B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（一）超能力、超强度或者超定员组织生产；</w:t>
            </w:r>
          </w:p>
          <w:p w14:paraId="0C0348E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（二）瓦斯超限作业；</w:t>
            </w:r>
          </w:p>
          <w:p w14:paraId="0078F86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（三）煤与瓦斯突出矿井，未依照规定实施防突出措施；</w:t>
            </w:r>
          </w:p>
          <w:p w14:paraId="645EFC6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（四）高瓦斯矿井未建立瓦斯抽采系统和监控系统，或者系统不能正常运行；</w:t>
            </w:r>
          </w:p>
          <w:p w14:paraId="391D74B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p w14:paraId="4BD7F78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（五）通风系统不完善、不可靠；</w:t>
            </w:r>
          </w:p>
          <w:p w14:paraId="062D99B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（七）超层越界开采；</w:t>
            </w:r>
          </w:p>
          <w:p w14:paraId="0D90D2C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（六）有严重水患，未采取有效措施；</w:t>
            </w:r>
          </w:p>
          <w:p w14:paraId="056F561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（八）有冲击地压危险，未采取有效措施；</w:t>
            </w:r>
          </w:p>
          <w:p w14:paraId="09F20D1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（九）自然发火严重，未采取有效措施；</w:t>
            </w:r>
          </w:p>
          <w:p w14:paraId="6DF41FB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（十）使用</w:t>
            </w:r>
            <w:r>
              <w:rPr>
                <w:rFonts w:hint="eastAsia" w:ascii="黑体" w:hAnsi="黑体" w:eastAsia="黑体" w:cs="黑体"/>
                <w:strike/>
                <w:dstrike w:val="0"/>
                <w:color w:val="0000FF"/>
                <w:spacing w:val="0"/>
                <w:sz w:val="21"/>
                <w:szCs w:val="21"/>
                <w:lang w:val="zh-CN" w:eastAsia="zh-CN"/>
              </w:rPr>
              <w:t>明令禁止使用或者</w:t>
            </w:r>
            <w:r>
              <w:rPr>
                <w:rFonts w:hint="eastAsia" w:ascii="仿宋_GB2312" w:hAnsi="仿宋_GB2312" w:eastAsia="仿宋_GB2312" w:cs="仿宋_GB2312"/>
                <w:spacing w:val="0"/>
                <w:sz w:val="21"/>
                <w:szCs w:val="21"/>
              </w:rPr>
              <w:t>淘汰的设备、工艺；</w:t>
            </w:r>
          </w:p>
          <w:p w14:paraId="2E547E6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p w14:paraId="2FE02EA6">
            <w:pPr>
              <w:pStyle w:val="11"/>
              <w:keepNext w:val="0"/>
              <w:keepLines w:val="0"/>
              <w:pageBreakBefore w:val="0"/>
              <w:widowControl w:val="0"/>
              <w:kinsoku/>
              <w:wordWrap/>
              <w:overflowPunct/>
              <w:topLinePunct w:val="0"/>
              <w:autoSpaceDE w:val="0"/>
              <w:autoSpaceDN w:val="0"/>
              <w:bidi w:val="0"/>
              <w:adjustRightInd/>
              <w:snapToGrid/>
              <w:spacing w:before="0" w:beforeLines="20" w:after="0" w:afterLines="20" w:line="240" w:lineRule="exact"/>
              <w:ind w:left="0" w:right="0"/>
              <w:jc w:val="both"/>
              <w:textAlignment w:val="auto"/>
              <w:rPr>
                <w:rFonts w:hint="default"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注：2026版本条第（十一）（十二）款在2024年5月1日施行的《安全生产条例》第三十六条已明确</w:t>
            </w:r>
          </w:p>
          <w:p w14:paraId="743A059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p w14:paraId="2D6B34B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（十一）</w:t>
            </w:r>
            <w:r>
              <w:rPr>
                <w:rFonts w:hint="eastAsia" w:ascii="黑体" w:hAnsi="黑体" w:eastAsia="黑体" w:cs="黑体"/>
                <w:strike/>
                <w:dstrike w:val="0"/>
                <w:color w:val="0000FF"/>
                <w:spacing w:val="0"/>
                <w:sz w:val="21"/>
                <w:szCs w:val="21"/>
                <w:lang w:val="zh-CN" w:eastAsia="zh-CN"/>
              </w:rPr>
              <w:t>煤矿没有</w:t>
            </w:r>
            <w:r>
              <w:rPr>
                <w:rFonts w:hint="eastAsia" w:ascii="仿宋_GB2312" w:hAnsi="仿宋_GB2312" w:eastAsia="仿宋_GB2312" w:cs="仿宋_GB2312"/>
                <w:spacing w:val="0"/>
                <w:sz w:val="21"/>
                <w:szCs w:val="21"/>
              </w:rPr>
              <w:t>双回路供电系统；</w:t>
            </w:r>
          </w:p>
          <w:p w14:paraId="3AF96B2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（十二）新建煤矿边建设边生产，煤矿改扩建期间，在改扩建的区域生产，或者在其他区域的生产超出</w:t>
            </w:r>
            <w:r>
              <w:rPr>
                <w:rFonts w:hint="eastAsia" w:ascii="黑体" w:hAnsi="黑体" w:eastAsia="黑体" w:cs="黑体"/>
                <w:strike/>
                <w:dstrike w:val="0"/>
                <w:color w:val="0000FF"/>
                <w:spacing w:val="0"/>
                <w:sz w:val="21"/>
                <w:szCs w:val="21"/>
                <w:lang w:val="zh-CN" w:eastAsia="zh-CN"/>
              </w:rPr>
              <w:t>安全设施</w:t>
            </w:r>
            <w:r>
              <w:rPr>
                <w:rFonts w:hint="eastAsia" w:ascii="仿宋_GB2312" w:hAnsi="仿宋_GB2312" w:eastAsia="仿宋_GB2312" w:cs="仿宋_GB2312"/>
                <w:spacing w:val="0"/>
                <w:sz w:val="21"/>
                <w:szCs w:val="21"/>
              </w:rPr>
              <w:t>设计规定的范围和规模；</w:t>
            </w:r>
          </w:p>
          <w:p w14:paraId="40E25EC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（十三）</w:t>
            </w:r>
            <w:r>
              <w:rPr>
                <w:rFonts w:hint="eastAsia" w:ascii="黑体" w:hAnsi="黑体" w:eastAsia="黑体" w:cs="黑体"/>
                <w:strike/>
                <w:dstrike w:val="0"/>
                <w:color w:val="0000FF"/>
                <w:spacing w:val="0"/>
                <w:sz w:val="21"/>
                <w:szCs w:val="21"/>
                <w:lang w:val="zh-CN" w:eastAsia="zh-CN"/>
              </w:rPr>
              <w:t>煤矿</w:t>
            </w:r>
            <w:r>
              <w:rPr>
                <w:rFonts w:hint="eastAsia" w:ascii="仿宋_GB2312" w:hAnsi="仿宋_GB2312" w:eastAsia="仿宋_GB2312" w:cs="仿宋_GB2312"/>
                <w:spacing w:val="0"/>
                <w:sz w:val="21"/>
                <w:szCs w:val="21"/>
              </w:rPr>
              <w:t>实行整体承包生产经营后，未重新取得或者及时变更安全生产许可证而从事生产，或者承包方再次转包，以及将井下采掘工作面和井巷维修作业</w:t>
            </w:r>
            <w:r>
              <w:rPr>
                <w:rFonts w:hint="eastAsia" w:ascii="黑体" w:hAnsi="黑体" w:eastAsia="黑体" w:cs="黑体"/>
                <w:b/>
                <w:bCs/>
                <w:color w:val="009C46"/>
                <w:spacing w:val="0"/>
                <w:sz w:val="21"/>
                <w:szCs w:val="21"/>
              </w:rPr>
              <w:t>进行劳务承包</w:t>
            </w:r>
            <w:r>
              <w:rPr>
                <w:rFonts w:hint="eastAsia" w:ascii="仿宋_GB2312" w:hAnsi="仿宋_GB2312" w:eastAsia="仿宋_GB2312" w:cs="仿宋_GB2312"/>
                <w:spacing w:val="0"/>
                <w:sz w:val="21"/>
                <w:szCs w:val="21"/>
              </w:rPr>
              <w:t>；</w:t>
            </w:r>
          </w:p>
          <w:p w14:paraId="5209DC9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（十四）</w:t>
            </w:r>
            <w:r>
              <w:rPr>
                <w:rFonts w:hint="eastAsia" w:ascii="黑体" w:hAnsi="黑体" w:eastAsia="黑体" w:cs="黑体"/>
                <w:strike/>
                <w:dstrike w:val="0"/>
                <w:color w:val="0000FF"/>
                <w:spacing w:val="0"/>
                <w:sz w:val="21"/>
                <w:szCs w:val="21"/>
              </w:rPr>
              <w:t>煤矿</w:t>
            </w:r>
            <w:r>
              <w:rPr>
                <w:rFonts w:hint="eastAsia" w:ascii="仿宋_GB2312" w:hAnsi="仿宋_GB2312" w:eastAsia="仿宋_GB2312" w:cs="仿宋_GB2312"/>
                <w:spacing w:val="0"/>
                <w:sz w:val="21"/>
                <w:szCs w:val="21"/>
              </w:rPr>
              <w:t>改制期间，未明确安全生产责任人和安全管理机构，或者在完成改制后，未重新取得或者变更</w:t>
            </w:r>
            <w:r>
              <w:rPr>
                <w:rFonts w:hint="eastAsia" w:ascii="黑体" w:hAnsi="黑体" w:eastAsia="黑体" w:cs="黑体"/>
                <w:strike/>
                <w:dstrike w:val="0"/>
                <w:color w:val="0000FF"/>
                <w:spacing w:val="0"/>
                <w:sz w:val="21"/>
                <w:szCs w:val="21"/>
              </w:rPr>
              <w:t>采矿许可证、</w:t>
            </w:r>
            <w:r>
              <w:rPr>
                <w:rFonts w:hint="eastAsia" w:ascii="仿宋_GB2312" w:hAnsi="仿宋_GB2312" w:eastAsia="仿宋_GB2312" w:cs="仿宋_GB2312"/>
                <w:spacing w:val="0"/>
                <w:sz w:val="21"/>
                <w:szCs w:val="21"/>
              </w:rPr>
              <w:t>安全生产许可证</w:t>
            </w:r>
            <w:r>
              <w:rPr>
                <w:rFonts w:hint="eastAsia" w:ascii="黑体" w:hAnsi="黑体" w:eastAsia="黑体" w:cs="黑体"/>
                <w:strike/>
                <w:dstrike w:val="0"/>
                <w:color w:val="0000FF"/>
                <w:spacing w:val="0"/>
                <w:sz w:val="21"/>
                <w:szCs w:val="21"/>
              </w:rPr>
              <w:t>和营业执照</w:t>
            </w:r>
            <w:r>
              <w:rPr>
                <w:rFonts w:hint="eastAsia" w:ascii="仿宋_GB2312" w:hAnsi="仿宋_GB2312" w:eastAsia="仿宋_GB2312" w:cs="仿宋_GB2312"/>
                <w:spacing w:val="0"/>
                <w:sz w:val="21"/>
                <w:szCs w:val="21"/>
              </w:rPr>
              <w:t>；</w:t>
            </w:r>
          </w:p>
          <w:p w14:paraId="52D6E32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（十五）其他重大事故隐患。</w:t>
            </w:r>
          </w:p>
        </w:tc>
        <w:tc>
          <w:tcPr>
            <w:tcW w:w="4501" w:type="dxa"/>
            <w:tcMar>
              <w:top w:w="57" w:type="dxa"/>
              <w:left w:w="57" w:type="dxa"/>
              <w:bottom w:w="57" w:type="dxa"/>
              <w:right w:w="57" w:type="dxa"/>
            </w:tcMar>
            <w:vAlign w:val="top"/>
          </w:tcPr>
          <w:p w14:paraId="5F621E0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spacing w:val="0"/>
                <w:sz w:val="21"/>
                <w:szCs w:val="21"/>
              </w:rPr>
              <w:t>第三条</w:t>
            </w:r>
            <w:r>
              <w:rPr>
                <w:rFonts w:hint="eastAsia" w:ascii="黑体" w:hAnsi="黑体" w:eastAsia="黑体" w:cs="黑体"/>
                <w:b w:val="0"/>
                <w:bCs/>
                <w:spacing w:val="0"/>
                <w:sz w:val="21"/>
                <w:szCs w:val="21"/>
                <w:lang w:val="en-US" w:eastAsia="zh-CN"/>
              </w:rPr>
              <w:t xml:space="preserve"> </w:t>
            </w:r>
            <w:r>
              <w:rPr>
                <w:rFonts w:hint="eastAsia" w:ascii="仿宋_GB2312" w:hAnsi="仿宋_GB2312" w:eastAsia="仿宋_GB2312" w:cs="仿宋_GB2312"/>
                <w:spacing w:val="0"/>
                <w:sz w:val="21"/>
                <w:szCs w:val="21"/>
              </w:rPr>
              <w:t>煤矿重大事故隐患包括下列17个方面：</w:t>
            </w:r>
          </w:p>
          <w:p w14:paraId="6C8246B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（一）超能力、超强度或者超定员组织生产；</w:t>
            </w:r>
          </w:p>
          <w:p w14:paraId="6FB5D71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（二）瓦斯超限作业；</w:t>
            </w:r>
          </w:p>
          <w:p w14:paraId="44ABBBE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（三）煤</w:t>
            </w:r>
            <w:r>
              <w:rPr>
                <w:rFonts w:hint="eastAsia" w:ascii="黑体" w:hAnsi="黑体" w:eastAsia="黑体" w:cs="黑体"/>
                <w:color w:val="FF0000"/>
                <w:spacing w:val="0"/>
                <w:sz w:val="21"/>
                <w:szCs w:val="21"/>
              </w:rPr>
              <w:t>（岩）</w:t>
            </w:r>
            <w:r>
              <w:rPr>
                <w:rFonts w:hint="eastAsia" w:ascii="仿宋_GB2312" w:hAnsi="仿宋_GB2312" w:eastAsia="仿宋_GB2312" w:cs="仿宋_GB2312"/>
                <w:spacing w:val="0"/>
                <w:sz w:val="21"/>
                <w:szCs w:val="21"/>
              </w:rPr>
              <w:t>与瓦斯</w:t>
            </w:r>
            <w:r>
              <w:rPr>
                <w:rFonts w:hint="eastAsia" w:ascii="黑体" w:hAnsi="黑体" w:eastAsia="黑体" w:cs="黑体"/>
                <w:color w:val="FF0000"/>
                <w:spacing w:val="0"/>
                <w:sz w:val="21"/>
                <w:szCs w:val="21"/>
              </w:rPr>
              <w:t>（二氧化碳）</w:t>
            </w:r>
            <w:r>
              <w:rPr>
                <w:rFonts w:hint="eastAsia" w:ascii="仿宋_GB2312" w:hAnsi="仿宋_GB2312" w:eastAsia="仿宋_GB2312" w:cs="仿宋_GB2312"/>
                <w:spacing w:val="0"/>
                <w:sz w:val="21"/>
                <w:szCs w:val="21"/>
              </w:rPr>
              <w:t>突出矿井未按照规定实施防突措施；</w:t>
            </w:r>
          </w:p>
          <w:p w14:paraId="6A1AE10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color w:val="FF0000"/>
                <w:spacing w:val="0"/>
                <w:sz w:val="21"/>
                <w:szCs w:val="21"/>
              </w:rPr>
              <w:t>煤（岩）与瓦斯（二氧化碳）突出矿井、</w:t>
            </w:r>
            <w:r>
              <w:rPr>
                <w:rFonts w:hint="eastAsia" w:ascii="仿宋_GB2312" w:hAnsi="仿宋_GB2312" w:eastAsia="仿宋_GB2312" w:cs="仿宋_GB2312"/>
                <w:spacing w:val="0"/>
                <w:sz w:val="21"/>
                <w:szCs w:val="21"/>
              </w:rPr>
              <w:t>高瓦斯矿井未按照规定建立瓦斯抽采系统，或者系统不能正常运行；</w:t>
            </w:r>
          </w:p>
          <w:p w14:paraId="380A4E9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（五）通风系统不完善、不可靠；</w:t>
            </w:r>
          </w:p>
          <w:p w14:paraId="22F86E9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（六）超层、越界开采；</w:t>
            </w:r>
          </w:p>
          <w:p w14:paraId="485213B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（七）有严重水患，未采取有效措施；</w:t>
            </w:r>
          </w:p>
          <w:p w14:paraId="28E8BAB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（八）有冲击地压危险，未采取有效措施；</w:t>
            </w:r>
          </w:p>
          <w:p w14:paraId="0A353B4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（九）自然发火严重，未采取有效措施；</w:t>
            </w:r>
          </w:p>
          <w:p w14:paraId="7220F19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（十）使用</w:t>
            </w:r>
            <w:r>
              <w:rPr>
                <w:rFonts w:hint="eastAsia" w:ascii="黑体" w:hAnsi="黑体" w:eastAsia="黑体" w:cs="黑体"/>
                <w:color w:val="FF0000"/>
                <w:spacing w:val="0"/>
                <w:sz w:val="21"/>
                <w:szCs w:val="21"/>
              </w:rPr>
              <w:t>应当</w:t>
            </w:r>
            <w:r>
              <w:rPr>
                <w:rFonts w:hint="eastAsia" w:ascii="仿宋_GB2312" w:hAnsi="仿宋_GB2312" w:eastAsia="仿宋_GB2312" w:cs="仿宋_GB2312"/>
                <w:spacing w:val="0"/>
                <w:sz w:val="21"/>
                <w:szCs w:val="21"/>
              </w:rPr>
              <w:t>淘汰的</w:t>
            </w:r>
            <w:r>
              <w:rPr>
                <w:rFonts w:hint="eastAsia" w:ascii="黑体" w:hAnsi="黑体" w:eastAsia="黑体" w:cs="黑体"/>
                <w:color w:val="FF0000"/>
                <w:spacing w:val="0"/>
                <w:sz w:val="21"/>
                <w:szCs w:val="21"/>
              </w:rPr>
              <w:t>危及生产安全</w:t>
            </w:r>
            <w:r>
              <w:rPr>
                <w:rFonts w:hint="eastAsia" w:ascii="仿宋_GB2312" w:hAnsi="仿宋_GB2312" w:eastAsia="仿宋_GB2312" w:cs="仿宋_GB2312"/>
                <w:spacing w:val="0"/>
                <w:sz w:val="21"/>
                <w:szCs w:val="21"/>
              </w:rPr>
              <w:t>的设备、工艺；</w:t>
            </w:r>
          </w:p>
          <w:p w14:paraId="242E3E7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color w:val="FF0000"/>
                <w:spacing w:val="0"/>
                <w:sz w:val="21"/>
                <w:szCs w:val="21"/>
              </w:rPr>
            </w:pPr>
            <w:r>
              <w:rPr>
                <w:rFonts w:hint="eastAsia" w:ascii="仿宋_GB2312" w:hAnsi="仿宋_GB2312" w:eastAsia="仿宋_GB2312" w:cs="仿宋_GB2312"/>
                <w:spacing w:val="0"/>
                <w:sz w:val="21"/>
                <w:szCs w:val="21"/>
              </w:rPr>
              <w:t>（十一）</w:t>
            </w:r>
            <w:r>
              <w:rPr>
                <w:rFonts w:hint="eastAsia" w:ascii="黑体" w:hAnsi="黑体" w:eastAsia="黑体" w:cs="黑体"/>
                <w:color w:val="FF0000"/>
                <w:spacing w:val="0"/>
                <w:sz w:val="21"/>
                <w:szCs w:val="21"/>
              </w:rPr>
              <w:t>未按照规定建立监控与通讯系统，或者系统不能正常运行；</w:t>
            </w:r>
          </w:p>
          <w:p w14:paraId="236BFB1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color w:val="FF0000"/>
                <w:spacing w:val="0"/>
                <w:sz w:val="21"/>
                <w:szCs w:val="21"/>
              </w:rPr>
            </w:pPr>
            <w:r>
              <w:rPr>
                <w:rFonts w:hint="eastAsia" w:ascii="仿宋_GB2312" w:hAnsi="仿宋_GB2312" w:eastAsia="仿宋_GB2312" w:cs="仿宋_GB2312"/>
                <w:spacing w:val="0"/>
                <w:sz w:val="21"/>
                <w:szCs w:val="21"/>
              </w:rPr>
              <w:t>（十二）</w:t>
            </w:r>
            <w:r>
              <w:rPr>
                <w:rFonts w:hint="eastAsia" w:ascii="黑体" w:hAnsi="黑体" w:eastAsia="黑体" w:cs="黑体"/>
                <w:color w:val="FF0000"/>
                <w:spacing w:val="0"/>
                <w:sz w:val="21"/>
                <w:szCs w:val="21"/>
              </w:rPr>
              <w:t>露天煤矿边坡角大于设计最大值或者边坡发生严重变形，未采取有效措施；</w:t>
            </w:r>
          </w:p>
          <w:p w14:paraId="3EC2100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（十三）</w:t>
            </w:r>
            <w:r>
              <w:rPr>
                <w:rFonts w:hint="eastAsia" w:ascii="黑体" w:hAnsi="黑体" w:eastAsia="黑体" w:cs="黑体"/>
                <w:color w:val="FF0000"/>
                <w:spacing w:val="0"/>
                <w:sz w:val="21"/>
                <w:szCs w:val="21"/>
              </w:rPr>
              <w:t>未按照规定采用</w:t>
            </w:r>
            <w:r>
              <w:rPr>
                <w:rFonts w:hint="eastAsia" w:ascii="仿宋_GB2312" w:hAnsi="仿宋_GB2312" w:eastAsia="仿宋_GB2312" w:cs="仿宋_GB2312"/>
                <w:spacing w:val="0"/>
                <w:sz w:val="21"/>
                <w:szCs w:val="21"/>
              </w:rPr>
              <w:t>双回路供电系统；</w:t>
            </w:r>
          </w:p>
          <w:p w14:paraId="58BC3E8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（十四）新建煤矿边建设边生产，煤矿改扩建期间，在改扩建的区域生产，或者在其他区域的生产超出设计规定的范围和规模；</w:t>
            </w:r>
          </w:p>
          <w:p w14:paraId="4C75E95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（十五）实行整体承包生产经营后，未重新取得或者及时变更安全生产许可证而从事生产，或者承包方再次转包，以及将井下采掘工作面和井巷维修作业</w:t>
            </w:r>
            <w:r>
              <w:rPr>
                <w:rFonts w:hint="eastAsia" w:ascii="黑体" w:hAnsi="黑体" w:eastAsia="黑体" w:cs="黑体"/>
                <w:b/>
                <w:bCs/>
                <w:color w:val="009C46"/>
                <w:spacing w:val="0"/>
                <w:sz w:val="21"/>
                <w:szCs w:val="21"/>
              </w:rPr>
              <w:t>外包</w:t>
            </w:r>
            <w:r>
              <w:rPr>
                <w:rFonts w:hint="eastAsia" w:ascii="仿宋_GB2312" w:hAnsi="仿宋_GB2312" w:eastAsia="仿宋_GB2312" w:cs="仿宋_GB2312"/>
                <w:spacing w:val="0"/>
                <w:sz w:val="21"/>
                <w:szCs w:val="21"/>
              </w:rPr>
              <w:t>；</w:t>
            </w:r>
          </w:p>
          <w:p w14:paraId="1EAA697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（十六）改制</w:t>
            </w:r>
            <w:r>
              <w:rPr>
                <w:rFonts w:hint="eastAsia" w:ascii="黑体" w:hAnsi="黑体" w:eastAsia="黑体" w:cs="黑体"/>
                <w:color w:val="FF0000"/>
                <w:spacing w:val="0"/>
                <w:sz w:val="21"/>
                <w:szCs w:val="21"/>
              </w:rPr>
              <w:t>、合并、分立</w:t>
            </w:r>
            <w:r>
              <w:rPr>
                <w:rFonts w:hint="eastAsia" w:ascii="仿宋_GB2312" w:hAnsi="仿宋_GB2312" w:eastAsia="仿宋_GB2312" w:cs="仿宋_GB2312"/>
                <w:spacing w:val="0"/>
                <w:sz w:val="21"/>
                <w:szCs w:val="21"/>
              </w:rPr>
              <w:t>期间，未明确安全生产责任人和安全</w:t>
            </w:r>
            <w:r>
              <w:rPr>
                <w:rFonts w:hint="eastAsia" w:ascii="黑体" w:hAnsi="黑体" w:eastAsia="黑体" w:cs="黑体"/>
                <w:color w:val="FF0000"/>
                <w:spacing w:val="0"/>
                <w:sz w:val="21"/>
                <w:szCs w:val="21"/>
              </w:rPr>
              <w:t>生产</w:t>
            </w:r>
            <w:r>
              <w:rPr>
                <w:rFonts w:hint="eastAsia" w:ascii="仿宋_GB2312" w:hAnsi="仿宋_GB2312" w:eastAsia="仿宋_GB2312" w:cs="仿宋_GB2312"/>
                <w:spacing w:val="0"/>
                <w:sz w:val="21"/>
                <w:szCs w:val="21"/>
              </w:rPr>
              <w:t>管理机构，或者在完成改制</w:t>
            </w:r>
            <w:r>
              <w:rPr>
                <w:rFonts w:hint="eastAsia" w:ascii="黑体" w:hAnsi="黑体" w:eastAsia="黑体" w:cs="黑体"/>
                <w:color w:val="FF0000"/>
                <w:spacing w:val="0"/>
                <w:sz w:val="21"/>
                <w:szCs w:val="21"/>
              </w:rPr>
              <w:t>、合并、分立</w:t>
            </w:r>
            <w:r>
              <w:rPr>
                <w:rFonts w:hint="eastAsia" w:ascii="仿宋_GB2312" w:hAnsi="仿宋_GB2312" w:eastAsia="仿宋_GB2312" w:cs="仿宋_GB2312"/>
                <w:spacing w:val="0"/>
                <w:sz w:val="21"/>
                <w:szCs w:val="21"/>
              </w:rPr>
              <w:t>后，未重新取得或者</w:t>
            </w:r>
            <w:r>
              <w:rPr>
                <w:rFonts w:hint="eastAsia" w:ascii="黑体" w:hAnsi="黑体" w:eastAsia="黑体" w:cs="黑体"/>
                <w:color w:val="FF0000"/>
                <w:spacing w:val="0"/>
                <w:sz w:val="21"/>
                <w:szCs w:val="21"/>
              </w:rPr>
              <w:t>及时</w:t>
            </w:r>
            <w:r>
              <w:rPr>
                <w:rFonts w:hint="eastAsia" w:ascii="仿宋_GB2312" w:hAnsi="仿宋_GB2312" w:eastAsia="仿宋_GB2312" w:cs="仿宋_GB2312"/>
                <w:spacing w:val="0"/>
                <w:sz w:val="21"/>
                <w:szCs w:val="21"/>
              </w:rPr>
              <w:t>变更安全生产许可证</w:t>
            </w:r>
            <w:r>
              <w:rPr>
                <w:rFonts w:hint="eastAsia" w:ascii="黑体" w:hAnsi="黑体" w:eastAsia="黑体" w:cs="黑体"/>
                <w:color w:val="FF0000"/>
                <w:spacing w:val="0"/>
                <w:sz w:val="21"/>
                <w:szCs w:val="21"/>
              </w:rPr>
              <w:t>等</w:t>
            </w:r>
            <w:r>
              <w:rPr>
                <w:rFonts w:hint="eastAsia" w:ascii="仿宋_GB2312" w:hAnsi="仿宋_GB2312" w:eastAsia="仿宋_GB2312" w:cs="仿宋_GB2312"/>
                <w:spacing w:val="0"/>
                <w:sz w:val="21"/>
                <w:szCs w:val="21"/>
              </w:rPr>
              <w:t>；</w:t>
            </w:r>
          </w:p>
          <w:p w14:paraId="5123B26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（十七）其他重大事故隐患。</w:t>
            </w:r>
          </w:p>
        </w:tc>
      </w:tr>
      <w:tr w14:paraId="657D1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7015697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spacing w:val="0"/>
                <w:sz w:val="21"/>
                <w:szCs w:val="21"/>
              </w:rPr>
            </w:pPr>
            <w:r>
              <w:rPr>
                <w:rFonts w:hint="eastAsia" w:ascii="黑体" w:hAnsi="黑体" w:eastAsia="黑体" w:cs="黑体"/>
                <w:b w:val="0"/>
                <w:bCs/>
                <w:spacing w:val="0"/>
                <w:sz w:val="21"/>
                <w:szCs w:val="21"/>
              </w:rPr>
              <w:t>第四条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“超能力、超强度或者超定员组织生产”重大事故隐患,是指有下列情形之一的:</w:t>
            </w:r>
          </w:p>
        </w:tc>
      </w:tr>
      <w:tr w14:paraId="42DF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98162D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（一）煤矿全年原煤产量超过核定（设计）生产能力</w:t>
            </w:r>
            <w:r>
              <w:rPr>
                <w:rFonts w:hint="eastAsia" w:ascii="黑体" w:hAnsi="黑体" w:eastAsia="黑体" w:cs="黑体"/>
                <w:b/>
                <w:bCs/>
                <w:color w:val="009C46"/>
                <w:spacing w:val="0"/>
                <w:sz w:val="21"/>
                <w:szCs w:val="21"/>
              </w:rPr>
              <w:t>幅度在10%以上</w:t>
            </w:r>
            <w:r>
              <w:rPr>
                <w:rFonts w:hint="eastAsia" w:ascii="仿宋_GB2312" w:hAnsi="仿宋_GB2312" w:eastAsia="仿宋_GB2312" w:cs="仿宋_GB2312"/>
                <w:spacing w:val="0"/>
                <w:sz w:val="21"/>
                <w:szCs w:val="21"/>
              </w:rPr>
              <w:t>，或者</w:t>
            </w:r>
            <w:r>
              <w:rPr>
                <w:rFonts w:hint="eastAsia" w:ascii="黑体" w:hAnsi="黑体" w:eastAsia="黑体" w:cs="黑体"/>
                <w:b/>
                <w:bCs/>
                <w:color w:val="009C46"/>
                <w:spacing w:val="0"/>
                <w:sz w:val="21"/>
                <w:szCs w:val="21"/>
              </w:rPr>
              <w:t>月</w:t>
            </w:r>
            <w:r>
              <w:rPr>
                <w:rFonts w:hint="eastAsia" w:ascii="仿宋_GB2312" w:hAnsi="仿宋_GB2312" w:eastAsia="仿宋_GB2312" w:cs="仿宋_GB2312"/>
                <w:spacing w:val="0"/>
                <w:sz w:val="21"/>
                <w:szCs w:val="21"/>
              </w:rPr>
              <w:t>原煤产量</w:t>
            </w:r>
            <w:r>
              <w:rPr>
                <w:rFonts w:hint="eastAsia" w:ascii="黑体" w:hAnsi="黑体" w:eastAsia="黑体" w:cs="黑体"/>
                <w:b/>
                <w:bCs/>
                <w:color w:val="009C46"/>
                <w:spacing w:val="0"/>
                <w:sz w:val="21"/>
                <w:szCs w:val="21"/>
              </w:rPr>
              <w:t>大于</w:t>
            </w:r>
            <w:r>
              <w:rPr>
                <w:rFonts w:hint="eastAsia" w:ascii="仿宋_GB2312" w:hAnsi="仿宋_GB2312" w:eastAsia="仿宋_GB2312" w:cs="仿宋_GB2312"/>
                <w:spacing w:val="0"/>
                <w:sz w:val="21"/>
                <w:szCs w:val="21"/>
              </w:rPr>
              <w:t>核定（设计）生产能力的</w:t>
            </w:r>
            <w:r>
              <w:rPr>
                <w:rFonts w:hint="eastAsia" w:ascii="黑体" w:hAnsi="黑体" w:eastAsia="黑体" w:cs="黑体"/>
                <w:b/>
                <w:bCs/>
                <w:color w:val="009C46"/>
                <w:spacing w:val="0"/>
                <w:sz w:val="21"/>
                <w:szCs w:val="21"/>
              </w:rPr>
              <w:t>10%</w:t>
            </w:r>
            <w:r>
              <w:rPr>
                <w:rFonts w:hint="eastAsia" w:ascii="仿宋_GB2312" w:hAnsi="仿宋_GB2312" w:eastAsia="仿宋_GB2312" w:cs="仿宋_GB2312"/>
                <w:spacing w:val="0"/>
                <w:sz w:val="21"/>
                <w:szCs w:val="21"/>
              </w:rPr>
              <w:t>的；</w:t>
            </w:r>
          </w:p>
        </w:tc>
        <w:tc>
          <w:tcPr>
            <w:tcW w:w="4501" w:type="dxa"/>
            <w:tcMar>
              <w:top w:w="57" w:type="dxa"/>
              <w:left w:w="57" w:type="dxa"/>
              <w:bottom w:w="57" w:type="dxa"/>
              <w:right w:w="57" w:type="dxa"/>
            </w:tcMar>
            <w:vAlign w:val="top"/>
          </w:tcPr>
          <w:p w14:paraId="1AE7B66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（一）煤矿全年原煤产量超过</w:t>
            </w:r>
            <w:r>
              <w:rPr>
                <w:rFonts w:hint="eastAsia" w:ascii="黑体" w:hAnsi="黑体" w:eastAsia="黑体" w:cs="黑体"/>
                <w:color w:val="FF0000"/>
                <w:spacing w:val="0"/>
                <w:sz w:val="21"/>
                <w:szCs w:val="21"/>
              </w:rPr>
              <w:t>煤矿</w:t>
            </w:r>
            <w:r>
              <w:rPr>
                <w:rFonts w:hint="eastAsia" w:ascii="仿宋_GB2312" w:hAnsi="仿宋_GB2312" w:eastAsia="仿宋_GB2312" w:cs="仿宋_GB2312"/>
                <w:spacing w:val="0"/>
                <w:sz w:val="21"/>
                <w:szCs w:val="21"/>
              </w:rPr>
              <w:t>核定（设计）生产能力</w:t>
            </w:r>
            <w:r>
              <w:rPr>
                <w:rFonts w:hint="eastAsia" w:ascii="黑体" w:hAnsi="黑体" w:eastAsia="黑体" w:cs="黑体"/>
                <w:b/>
                <w:bCs/>
                <w:color w:val="009C46"/>
                <w:spacing w:val="0"/>
                <w:sz w:val="21"/>
                <w:szCs w:val="21"/>
              </w:rPr>
              <w:t>的110%</w:t>
            </w:r>
            <w:r>
              <w:rPr>
                <w:rFonts w:hint="eastAsia" w:ascii="仿宋_GB2312" w:hAnsi="仿宋_GB2312" w:eastAsia="仿宋_GB2312" w:cs="仿宋_GB2312"/>
                <w:spacing w:val="0"/>
                <w:sz w:val="21"/>
                <w:szCs w:val="21"/>
              </w:rPr>
              <w:t>,或者</w:t>
            </w:r>
            <w:r>
              <w:rPr>
                <w:rFonts w:hint="eastAsia" w:ascii="黑体" w:hAnsi="黑体" w:eastAsia="黑体" w:cs="黑体"/>
                <w:color w:val="FF0000"/>
                <w:spacing w:val="0"/>
                <w:sz w:val="21"/>
                <w:szCs w:val="21"/>
              </w:rPr>
              <w:t>井工煤矿</w:t>
            </w:r>
            <w:r>
              <w:rPr>
                <w:rFonts w:hint="eastAsia" w:ascii="黑体" w:hAnsi="黑体" w:eastAsia="黑体" w:cs="黑体"/>
                <w:b/>
                <w:bCs/>
                <w:color w:val="009C46"/>
                <w:spacing w:val="0"/>
                <w:sz w:val="21"/>
                <w:szCs w:val="21"/>
              </w:rPr>
              <w:t>季度</w:t>
            </w:r>
            <w:r>
              <w:rPr>
                <w:rFonts w:hint="eastAsia" w:ascii="仿宋_GB2312" w:hAnsi="仿宋_GB2312" w:eastAsia="仿宋_GB2312" w:cs="仿宋_GB2312"/>
                <w:spacing w:val="0"/>
                <w:sz w:val="21"/>
                <w:szCs w:val="21"/>
              </w:rPr>
              <w:t>原煤产量</w:t>
            </w:r>
            <w:r>
              <w:rPr>
                <w:rFonts w:hint="eastAsia" w:ascii="黑体" w:hAnsi="黑体" w:eastAsia="黑体" w:cs="黑体"/>
                <w:b/>
                <w:bCs/>
                <w:color w:val="009C46"/>
                <w:spacing w:val="0"/>
                <w:sz w:val="21"/>
                <w:szCs w:val="21"/>
              </w:rPr>
              <w:t>超过</w:t>
            </w:r>
            <w:r>
              <w:rPr>
                <w:rFonts w:hint="eastAsia" w:ascii="仿宋_GB2312" w:hAnsi="仿宋_GB2312" w:eastAsia="仿宋_GB2312" w:cs="仿宋_GB2312"/>
                <w:spacing w:val="0"/>
                <w:sz w:val="21"/>
                <w:szCs w:val="21"/>
              </w:rPr>
              <w:t>煤矿核定（设计）生产能力的</w:t>
            </w:r>
            <w:r>
              <w:rPr>
                <w:rFonts w:hint="eastAsia" w:ascii="黑体" w:hAnsi="黑体" w:eastAsia="黑体" w:cs="黑体"/>
                <w:b/>
                <w:bCs/>
                <w:color w:val="009C46"/>
                <w:spacing w:val="0"/>
                <w:sz w:val="21"/>
                <w:szCs w:val="21"/>
              </w:rPr>
              <w:t>30%</w:t>
            </w:r>
            <w:r>
              <w:rPr>
                <w:rFonts w:hint="eastAsia" w:ascii="仿宋_GB2312" w:hAnsi="仿宋_GB2312" w:eastAsia="仿宋_GB2312" w:cs="仿宋_GB2312"/>
                <w:spacing w:val="0"/>
                <w:sz w:val="21"/>
                <w:szCs w:val="21"/>
              </w:rPr>
              <w:t>。</w:t>
            </w:r>
          </w:p>
        </w:tc>
      </w:tr>
      <w:tr w14:paraId="59A6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9B3398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strike/>
                <w:dstrike w:val="0"/>
                <w:color w:val="0000FF"/>
                <w:spacing w:val="0"/>
                <w:sz w:val="21"/>
                <w:szCs w:val="21"/>
              </w:rPr>
            </w:pPr>
            <w:r>
              <w:rPr>
                <w:rFonts w:hint="eastAsia" w:ascii="黑体" w:hAnsi="黑体" w:eastAsia="黑体" w:cs="黑体"/>
                <w:strike/>
                <w:dstrike w:val="0"/>
                <w:color w:val="0000FF"/>
                <w:spacing w:val="0"/>
                <w:sz w:val="21"/>
                <w:szCs w:val="21"/>
              </w:rPr>
              <w:t>（二）煤矿或其上级公司超过煤矿核定（设计）生产能力下达生产计划或者经营指标的；</w:t>
            </w:r>
          </w:p>
        </w:tc>
        <w:tc>
          <w:tcPr>
            <w:tcW w:w="4501" w:type="dxa"/>
            <w:tcMar>
              <w:top w:w="57" w:type="dxa"/>
              <w:left w:w="57" w:type="dxa"/>
              <w:bottom w:w="57" w:type="dxa"/>
              <w:right w:w="57" w:type="dxa"/>
            </w:tcMar>
            <w:vAlign w:val="center"/>
          </w:tcPr>
          <w:p w14:paraId="09EA781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0EC3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DD39C6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strike/>
                <w:dstrike w:val="0"/>
                <w:color w:val="0000FF"/>
                <w:spacing w:val="0"/>
                <w:sz w:val="21"/>
                <w:szCs w:val="21"/>
              </w:rPr>
            </w:pPr>
            <w:r>
              <w:rPr>
                <w:rFonts w:hint="eastAsia" w:ascii="黑体" w:hAnsi="黑体" w:eastAsia="黑体" w:cs="黑体"/>
                <w:strike/>
                <w:dstrike w:val="0"/>
                <w:color w:val="0000FF"/>
                <w:spacing w:val="0"/>
                <w:sz w:val="21"/>
                <w:szCs w:val="21"/>
              </w:rPr>
              <w:t>（三）煤矿开拓、准备、回采煤量可采期小于国家规定的最短时间，未主动采取限产或者停产措施，仍然组织生产的（衰老煤矿和地方人民政府计划停产关闭煤矿除外）；</w:t>
            </w:r>
          </w:p>
        </w:tc>
        <w:tc>
          <w:tcPr>
            <w:tcW w:w="4501" w:type="dxa"/>
            <w:shd w:val="clear" w:color="auto" w:fill="auto"/>
            <w:tcMar>
              <w:top w:w="57" w:type="dxa"/>
              <w:left w:w="57" w:type="dxa"/>
              <w:bottom w:w="57" w:type="dxa"/>
              <w:right w:w="57" w:type="dxa"/>
            </w:tcMar>
            <w:vAlign w:val="center"/>
          </w:tcPr>
          <w:p w14:paraId="325103A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2317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6D48E1E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b/>
                <w:bCs/>
                <w:color w:val="009C46"/>
                <w:spacing w:val="0"/>
                <w:sz w:val="21"/>
                <w:szCs w:val="21"/>
              </w:rPr>
              <w:t>煤矿</w:t>
            </w:r>
            <w:r>
              <w:rPr>
                <w:rFonts w:hint="eastAsia" w:ascii="黑体" w:hAnsi="黑体" w:eastAsia="黑体" w:cs="黑体"/>
                <w:strike/>
                <w:dstrike w:val="0"/>
                <w:color w:val="0000FF"/>
                <w:spacing w:val="0"/>
                <w:sz w:val="21"/>
                <w:szCs w:val="21"/>
              </w:rPr>
              <w:t>井下</w:t>
            </w:r>
            <w:r>
              <w:rPr>
                <w:rFonts w:hint="eastAsia" w:ascii="仿宋_GB2312" w:hAnsi="仿宋_GB2312" w:eastAsia="仿宋_GB2312" w:cs="仿宋_GB2312"/>
                <w:spacing w:val="0"/>
                <w:sz w:val="21"/>
                <w:szCs w:val="21"/>
              </w:rPr>
              <w:t>同时生产的水平超过2个，或者一个采（盘）区内同时作业的采煤、煤（半煤岩）巷掘进工作面个数超过《煤矿安全规程》规定的；</w:t>
            </w:r>
          </w:p>
        </w:tc>
        <w:tc>
          <w:tcPr>
            <w:tcW w:w="4501" w:type="dxa"/>
            <w:tcMar>
              <w:top w:w="57" w:type="dxa"/>
              <w:left w:w="57" w:type="dxa"/>
              <w:bottom w:w="57" w:type="dxa"/>
              <w:right w:w="57" w:type="dxa"/>
            </w:tcMar>
            <w:vAlign w:val="top"/>
          </w:tcPr>
          <w:p w14:paraId="19033C2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b/>
                <w:bCs/>
                <w:color w:val="009C46"/>
                <w:spacing w:val="0"/>
                <w:sz w:val="21"/>
                <w:szCs w:val="21"/>
              </w:rPr>
              <w:t>矿井</w:t>
            </w:r>
            <w:r>
              <w:rPr>
                <w:rFonts w:hint="eastAsia" w:ascii="仿宋_GB2312" w:hAnsi="仿宋_GB2312" w:eastAsia="仿宋_GB2312" w:cs="仿宋_GB2312"/>
                <w:spacing w:val="0"/>
                <w:sz w:val="21"/>
                <w:szCs w:val="21"/>
              </w:rPr>
              <w:t>同时生产的水平超过2个,或者一个采（盘）区内同时生产的采煤、煤（半煤岩）巷掘进工作面</w:t>
            </w:r>
            <w:r>
              <w:rPr>
                <w:rFonts w:hint="eastAsia" w:ascii="黑体" w:hAnsi="黑体" w:eastAsia="黑体" w:cs="黑体"/>
                <w:color w:val="FF0000"/>
                <w:spacing w:val="0"/>
                <w:sz w:val="21"/>
                <w:szCs w:val="21"/>
              </w:rPr>
              <w:t>（安装、回撤工作面除外）</w:t>
            </w:r>
            <w:r>
              <w:rPr>
                <w:rFonts w:hint="eastAsia" w:ascii="仿宋_GB2312" w:hAnsi="仿宋_GB2312" w:eastAsia="仿宋_GB2312" w:cs="仿宋_GB2312"/>
                <w:spacing w:val="0"/>
                <w:sz w:val="21"/>
                <w:szCs w:val="21"/>
              </w:rPr>
              <w:t>个数超过《煤矿安全规程》规定。</w:t>
            </w:r>
          </w:p>
        </w:tc>
      </w:tr>
      <w:tr w14:paraId="3DF3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E8AE5E8">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（五）瓦斯抽采</w:t>
            </w:r>
            <w:r>
              <w:rPr>
                <w:rFonts w:hint="eastAsia" w:ascii="黑体" w:hAnsi="黑体" w:eastAsia="黑体" w:cs="黑体"/>
                <w:strike w:val="0"/>
                <w:dstrike w:val="0"/>
                <w:color w:val="808080" w:themeColor="text1" w:themeTint="80"/>
                <w:spacing w:val="0"/>
                <w:sz w:val="18"/>
                <w:szCs w:val="18"/>
                <w14:textFill>
                  <w14:solidFill>
                    <w14:schemeClr w14:val="tx1">
                      <w14:lumMod w14:val="50000"/>
                      <w14:lumOff w14:val="50000"/>
                    </w14:schemeClr>
                  </w14:solidFill>
                </w14:textFill>
              </w:rPr>
              <w:t>不达标组织生产的；</w:t>
            </w:r>
          </w:p>
        </w:tc>
        <w:tc>
          <w:tcPr>
            <w:tcW w:w="4501" w:type="dxa"/>
            <w:tcMar>
              <w:top w:w="57" w:type="dxa"/>
              <w:left w:w="57" w:type="dxa"/>
              <w:bottom w:w="57" w:type="dxa"/>
              <w:right w:w="57" w:type="dxa"/>
            </w:tcMar>
            <w:vAlign w:val="center"/>
          </w:tcPr>
          <w:p w14:paraId="49CFCB6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bCs/>
                <w:color w:val="E46C0A" w:themeColor="accent6" w:themeShade="BF"/>
                <w:spacing w:val="0"/>
                <w:sz w:val="18"/>
                <w:szCs w:val="18"/>
                <w:lang w:val="en-US" w:eastAsia="zh-CN"/>
              </w:rPr>
              <w:t>调整至第五条第（九）款</w:t>
            </w:r>
          </w:p>
        </w:tc>
      </w:tr>
      <w:tr w14:paraId="2F96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74B25F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w:t>
            </w:r>
            <w:r>
              <w:rPr>
                <w:rFonts w:hint="eastAsia" w:ascii="黑体" w:hAnsi="黑体" w:eastAsia="黑体" w:cs="黑体"/>
                <w:b/>
                <w:bCs/>
                <w:color w:val="009C46"/>
                <w:spacing w:val="0"/>
                <w:sz w:val="21"/>
                <w:szCs w:val="21"/>
              </w:rPr>
              <w:t>煤矿</w:t>
            </w:r>
            <w:r>
              <w:rPr>
                <w:rFonts w:hint="eastAsia" w:ascii="黑体" w:hAnsi="黑体" w:eastAsia="黑体" w:cs="黑体"/>
                <w:strike/>
                <w:dstrike w:val="0"/>
                <w:color w:val="0000FF"/>
                <w:spacing w:val="0"/>
                <w:sz w:val="21"/>
                <w:szCs w:val="21"/>
              </w:rPr>
              <w:t>未制定</w:t>
            </w:r>
            <w:r>
              <w:rPr>
                <w:rFonts w:hint="eastAsia" w:ascii="仿宋_GB2312" w:hAnsi="仿宋_GB2312" w:eastAsia="仿宋_GB2312" w:cs="仿宋_GB2312"/>
                <w:spacing w:val="0"/>
                <w:sz w:val="21"/>
                <w:szCs w:val="21"/>
              </w:rPr>
              <w:t>或者</w:t>
            </w:r>
            <w:r>
              <w:rPr>
                <w:rFonts w:hint="eastAsia" w:ascii="黑体" w:hAnsi="黑体" w:eastAsia="黑体" w:cs="黑体"/>
                <w:b/>
                <w:bCs/>
                <w:color w:val="009C46"/>
                <w:spacing w:val="0"/>
                <w:sz w:val="21"/>
                <w:szCs w:val="21"/>
              </w:rPr>
              <w:t>未严格执行井下劳动定员制度，</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采掘作业地点单班作业人数超过国家有关限员规定20%以</w:t>
            </w:r>
            <w:bookmarkStart w:id="0" w:name="_GoBack"/>
            <w:bookmarkEnd w:id="0"/>
            <w:r>
              <w:rPr>
                <w:rFonts w:hint="eastAsia" w:ascii="仿宋_GB2312" w:hAnsi="仿宋_GB2312" w:eastAsia="仿宋_GB2312" w:cs="仿宋_GB2312"/>
                <w:spacing w:val="0"/>
                <w:sz w:val="21"/>
                <w:szCs w:val="21"/>
              </w:rPr>
              <w:t>上的。</w:t>
            </w:r>
          </w:p>
        </w:tc>
        <w:tc>
          <w:tcPr>
            <w:tcW w:w="4501" w:type="dxa"/>
            <w:tcMar>
              <w:top w:w="57" w:type="dxa"/>
              <w:left w:w="57" w:type="dxa"/>
              <w:bottom w:w="57" w:type="dxa"/>
              <w:right w:w="57" w:type="dxa"/>
            </w:tcMar>
            <w:vAlign w:val="top"/>
          </w:tcPr>
          <w:p w14:paraId="28E6406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黑体" w:hAnsi="黑体" w:eastAsia="黑体" w:cs="黑体"/>
                <w:b/>
                <w:bCs/>
                <w:color w:val="009C46"/>
                <w:spacing w:val="0"/>
                <w:sz w:val="21"/>
                <w:szCs w:val="21"/>
              </w:rPr>
              <w:t>矿井</w:t>
            </w:r>
            <w:r>
              <w:rPr>
                <w:rFonts w:hint="eastAsia" w:ascii="仿宋_GB2312" w:hAnsi="仿宋_GB2312" w:eastAsia="仿宋_GB2312" w:cs="仿宋_GB2312"/>
                <w:spacing w:val="0"/>
                <w:sz w:val="21"/>
                <w:szCs w:val="21"/>
              </w:rPr>
              <w:t>采掘作业地点单班作业人数</w:t>
            </w:r>
            <w:r>
              <w:rPr>
                <w:rFonts w:hint="eastAsia" w:ascii="黑体" w:hAnsi="黑体" w:eastAsia="黑体" w:cs="黑体"/>
                <w:color w:val="FF0000"/>
                <w:spacing w:val="0"/>
                <w:sz w:val="21"/>
                <w:szCs w:val="21"/>
                <w:lang w:eastAsia="zh-CN"/>
              </w:rPr>
              <w:t>（</w:t>
            </w:r>
            <w:r>
              <w:rPr>
                <w:rFonts w:hint="eastAsia" w:ascii="黑体" w:hAnsi="黑体" w:eastAsia="黑体" w:cs="黑体"/>
                <w:color w:val="FF0000"/>
                <w:spacing w:val="0"/>
                <w:sz w:val="21"/>
                <w:szCs w:val="21"/>
              </w:rPr>
              <w:t>不含交接班期间</w:t>
            </w:r>
            <w:r>
              <w:rPr>
                <w:rFonts w:hint="eastAsia" w:ascii="黑体" w:hAnsi="黑体" w:eastAsia="黑体" w:cs="黑体"/>
                <w:color w:val="FF0000"/>
                <w:spacing w:val="0"/>
                <w:sz w:val="21"/>
                <w:szCs w:val="21"/>
                <w:lang w:eastAsia="zh-CN"/>
              </w:rPr>
              <w:t>）</w:t>
            </w:r>
            <w:r>
              <w:rPr>
                <w:rFonts w:hint="eastAsia" w:ascii="仿宋_GB2312" w:hAnsi="仿宋_GB2312" w:eastAsia="仿宋_GB2312" w:cs="仿宋_GB2312"/>
                <w:spacing w:val="0"/>
                <w:sz w:val="21"/>
                <w:szCs w:val="21"/>
              </w:rPr>
              <w:t>超过国家有关限员规定20%</w:t>
            </w:r>
            <w:r>
              <w:rPr>
                <w:rFonts w:hint="eastAsia" w:ascii="黑体" w:hAnsi="黑体" w:eastAsia="黑体" w:cs="黑体"/>
                <w:color w:val="FF0000"/>
                <w:spacing w:val="0"/>
                <w:sz w:val="21"/>
                <w:szCs w:val="21"/>
                <w:lang w:eastAsia="zh-CN"/>
              </w:rPr>
              <w:t>（经省级煤矿安全监管部门批准增加的人员不计入）</w:t>
            </w:r>
            <w:r>
              <w:rPr>
                <w:rFonts w:hint="eastAsia" w:ascii="仿宋_GB2312" w:hAnsi="仿宋_GB2312" w:eastAsia="仿宋_GB2312" w:cs="仿宋_GB2312"/>
                <w:spacing w:val="0"/>
                <w:sz w:val="21"/>
                <w:szCs w:val="21"/>
              </w:rPr>
              <w:t>,或者</w:t>
            </w:r>
            <w:r>
              <w:rPr>
                <w:rFonts w:hint="eastAsia" w:ascii="黑体" w:hAnsi="黑体" w:eastAsia="黑体" w:cs="黑体"/>
                <w:b/>
                <w:bCs/>
                <w:color w:val="009C46"/>
                <w:spacing w:val="0"/>
                <w:sz w:val="21"/>
                <w:szCs w:val="21"/>
              </w:rPr>
              <w:t>违反《煤矿安全规程》关于开采冲击地压煤层限员管理规定</w:t>
            </w:r>
            <w:r>
              <w:rPr>
                <w:rFonts w:hint="eastAsia" w:ascii="仿宋_GB2312" w:hAnsi="仿宋_GB2312" w:eastAsia="仿宋_GB2312" w:cs="仿宋_GB2312"/>
                <w:spacing w:val="0"/>
                <w:sz w:val="21"/>
                <w:szCs w:val="21"/>
                <w:lang w:eastAsia="zh-CN"/>
              </w:rPr>
              <w:t>。</w:t>
            </w:r>
          </w:p>
        </w:tc>
      </w:tr>
      <w:tr w14:paraId="2C7D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0D50F96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五</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“瓦斯超限作业”重大事故隐患,是指有下列情形之一的:</w:t>
            </w:r>
          </w:p>
        </w:tc>
      </w:tr>
      <w:tr w14:paraId="3B34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330A3A4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（一）瓦斯检查存在漏检、假检情况且进行作业的；</w:t>
            </w:r>
          </w:p>
        </w:tc>
        <w:tc>
          <w:tcPr>
            <w:tcW w:w="4501" w:type="dxa"/>
            <w:tcMar>
              <w:top w:w="57" w:type="dxa"/>
              <w:left w:w="57" w:type="dxa"/>
              <w:bottom w:w="57" w:type="dxa"/>
              <w:right w:w="57" w:type="dxa"/>
            </w:tcMar>
            <w:vAlign w:val="center"/>
          </w:tcPr>
          <w:p w14:paraId="628A5E7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调整至第二十条第（三）款</w:t>
            </w:r>
          </w:p>
        </w:tc>
      </w:tr>
      <w:tr w14:paraId="3001F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6839090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bCs/>
                <w:color w:val="00B050"/>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b/>
                <w:bCs/>
                <w:color w:val="009C46"/>
                <w:spacing w:val="0"/>
                <w:sz w:val="21"/>
                <w:szCs w:val="21"/>
              </w:rPr>
              <w:t>井下瓦斯超限后继续作业或者未按照国家规定处置继续进行作业的；</w:t>
            </w:r>
          </w:p>
          <w:p w14:paraId="02EB6EB9">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eastAsia" w:ascii="黑体" w:hAnsi="黑体" w:eastAsia="黑体" w:cs="黑体"/>
                <w:b/>
                <w:bCs/>
                <w:color w:val="00B050"/>
                <w:spacing w:val="0"/>
                <w:sz w:val="21"/>
                <w:szCs w:val="21"/>
              </w:rPr>
            </w:pPr>
            <w:r>
              <w:rPr>
                <w:rFonts w:hint="eastAsia" w:ascii="黑体" w:hAnsi="黑体" w:eastAsia="黑体" w:cs="黑体"/>
                <w:b/>
                <w:bCs/>
                <w:color w:val="E46C0A" w:themeColor="accent6" w:themeShade="BF"/>
                <w:spacing w:val="0"/>
                <w:sz w:val="18"/>
                <w:szCs w:val="18"/>
                <w:lang w:val="en-US" w:eastAsia="zh-CN"/>
              </w:rPr>
              <w:t>*此条细化明确采区回风巷超限判定；明确用电作业停止条件；明确爆破作业停止条件；明确1.5%作为断电撤人阈值；局部积聚的判定标准</w:t>
            </w:r>
          </w:p>
        </w:tc>
        <w:tc>
          <w:tcPr>
            <w:tcW w:w="4501" w:type="dxa"/>
            <w:tcMar>
              <w:top w:w="57" w:type="dxa"/>
              <w:left w:w="57" w:type="dxa"/>
              <w:bottom w:w="57" w:type="dxa"/>
              <w:right w:w="57" w:type="dxa"/>
            </w:tcMar>
            <w:vAlign w:val="top"/>
          </w:tcPr>
          <w:p w14:paraId="689D75D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w:t>
            </w:r>
            <w:r>
              <w:rPr>
                <w:rFonts w:hint="eastAsia" w:ascii="黑体" w:hAnsi="黑体" w:eastAsia="黑体" w:cs="黑体"/>
                <w:color w:val="FF0000"/>
                <w:spacing w:val="0"/>
                <w:sz w:val="21"/>
                <w:szCs w:val="21"/>
              </w:rPr>
              <w:t>采区回风巷、采掘工作面回风巷风流中甲烷浓度达到1.0%或者二氧化碳浓度达到1.5%时</w:t>
            </w:r>
            <w:r>
              <w:rPr>
                <w:rFonts w:hint="eastAsia" w:ascii="黑体" w:hAnsi="黑体" w:eastAsia="黑体" w:cs="黑体"/>
                <w:color w:val="FF0000"/>
                <w:spacing w:val="0"/>
                <w:sz w:val="21"/>
                <w:szCs w:val="21"/>
                <w:lang w:eastAsia="zh-CN"/>
              </w:rPr>
              <w:t>，</w:t>
            </w:r>
            <w:r>
              <w:rPr>
                <w:rFonts w:hint="eastAsia" w:ascii="黑体" w:hAnsi="黑体" w:eastAsia="黑体" w:cs="黑体"/>
                <w:color w:val="FF0000"/>
                <w:spacing w:val="0"/>
                <w:sz w:val="21"/>
                <w:szCs w:val="21"/>
              </w:rPr>
              <w:t>未停止工作、撤出人员、采取措施、进行处理。</w:t>
            </w:r>
          </w:p>
        </w:tc>
      </w:tr>
      <w:tr w14:paraId="77BC6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70DB956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0C12B1A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color w:val="FF0000"/>
                <w:spacing w:val="0"/>
                <w:sz w:val="21"/>
                <w:szCs w:val="21"/>
              </w:rPr>
              <w:t>采掘工作面及其他作业地点风流中甲烷浓度达到1.0%时</w:t>
            </w:r>
            <w:r>
              <w:rPr>
                <w:rFonts w:hint="eastAsia" w:ascii="黑体" w:hAnsi="黑体" w:eastAsia="黑体" w:cs="黑体"/>
                <w:color w:val="FF0000"/>
                <w:spacing w:val="0"/>
                <w:sz w:val="21"/>
                <w:szCs w:val="21"/>
                <w:lang w:eastAsia="zh-CN"/>
              </w:rPr>
              <w:t>，</w:t>
            </w:r>
            <w:r>
              <w:rPr>
                <w:rFonts w:hint="eastAsia" w:ascii="黑体" w:hAnsi="黑体" w:eastAsia="黑体" w:cs="黑体"/>
                <w:color w:val="FF0000"/>
                <w:spacing w:val="0"/>
                <w:sz w:val="21"/>
                <w:szCs w:val="21"/>
              </w:rPr>
              <w:t>没有停止用电作业。</w:t>
            </w:r>
          </w:p>
        </w:tc>
      </w:tr>
      <w:tr w14:paraId="35055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center"/>
          </w:tcPr>
          <w:p w14:paraId="0A6FF21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p>
        </w:tc>
        <w:tc>
          <w:tcPr>
            <w:tcW w:w="4501" w:type="dxa"/>
            <w:tcMar>
              <w:top w:w="57" w:type="dxa"/>
              <w:left w:w="57" w:type="dxa"/>
              <w:bottom w:w="57" w:type="dxa"/>
              <w:right w:w="57" w:type="dxa"/>
            </w:tcMar>
            <w:vAlign w:val="top"/>
          </w:tcPr>
          <w:p w14:paraId="7E8899A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color w:val="FF0000"/>
                <w:spacing w:val="0"/>
                <w:sz w:val="21"/>
                <w:szCs w:val="21"/>
              </w:rPr>
              <w:t>井下爆破地点附近20m以内风流中甲烷浓度达到1.0%时</w:t>
            </w:r>
            <w:r>
              <w:rPr>
                <w:rFonts w:hint="eastAsia" w:ascii="黑体" w:hAnsi="黑体" w:eastAsia="黑体" w:cs="黑体"/>
                <w:color w:val="FF0000"/>
                <w:spacing w:val="0"/>
                <w:sz w:val="21"/>
                <w:szCs w:val="21"/>
                <w:lang w:eastAsia="zh-CN"/>
              </w:rPr>
              <w:t>，</w:t>
            </w:r>
            <w:r>
              <w:rPr>
                <w:rFonts w:hint="eastAsia" w:ascii="黑体" w:hAnsi="黑体" w:eastAsia="黑体" w:cs="黑体"/>
                <w:color w:val="FF0000"/>
                <w:spacing w:val="0"/>
                <w:sz w:val="21"/>
                <w:szCs w:val="21"/>
              </w:rPr>
              <w:t>仍实施爆破。</w:t>
            </w:r>
          </w:p>
        </w:tc>
      </w:tr>
      <w:tr w14:paraId="35934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center"/>
          </w:tcPr>
          <w:p w14:paraId="37A75BA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FF0000"/>
                <w:spacing w:val="0"/>
                <w:sz w:val="21"/>
                <w:szCs w:val="21"/>
                <w:lang w:val="en-US" w:eastAsia="zh-CN"/>
              </w:rPr>
            </w:pPr>
          </w:p>
        </w:tc>
        <w:tc>
          <w:tcPr>
            <w:tcW w:w="4501" w:type="dxa"/>
            <w:tcMar>
              <w:top w:w="57" w:type="dxa"/>
              <w:left w:w="57" w:type="dxa"/>
              <w:bottom w:w="57" w:type="dxa"/>
              <w:right w:w="57" w:type="dxa"/>
            </w:tcMar>
            <w:vAlign w:val="top"/>
          </w:tcPr>
          <w:p w14:paraId="578A159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color w:val="FF0000"/>
                <w:spacing w:val="0"/>
                <w:sz w:val="21"/>
                <w:szCs w:val="21"/>
              </w:rPr>
              <w:t>采掘工作面及其他作业地点风流中、电动机或者其开关安设地点附近20m以内风流中的甲烷浓度达到1.5%时</w:t>
            </w:r>
            <w:r>
              <w:rPr>
                <w:rFonts w:hint="eastAsia" w:ascii="黑体" w:hAnsi="黑体" w:eastAsia="黑体" w:cs="黑体"/>
                <w:color w:val="FF0000"/>
                <w:spacing w:val="0"/>
                <w:sz w:val="21"/>
                <w:szCs w:val="21"/>
                <w:lang w:eastAsia="zh-CN"/>
              </w:rPr>
              <w:t>，</w:t>
            </w:r>
            <w:r>
              <w:rPr>
                <w:rFonts w:hint="eastAsia" w:ascii="黑体" w:hAnsi="黑体" w:eastAsia="黑体" w:cs="黑体"/>
                <w:color w:val="FF0000"/>
                <w:spacing w:val="0"/>
                <w:sz w:val="21"/>
                <w:szCs w:val="21"/>
              </w:rPr>
              <w:t>未停止工作、切断电源、撤出人员、进行处理。</w:t>
            </w:r>
          </w:p>
        </w:tc>
      </w:tr>
      <w:tr w14:paraId="4C0D9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center"/>
          </w:tcPr>
          <w:p w14:paraId="39205B0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FF0000"/>
                <w:spacing w:val="0"/>
                <w:sz w:val="21"/>
                <w:szCs w:val="21"/>
                <w:lang w:val="en-US" w:eastAsia="zh-CN"/>
              </w:rPr>
            </w:pPr>
          </w:p>
        </w:tc>
        <w:tc>
          <w:tcPr>
            <w:tcW w:w="4501" w:type="dxa"/>
            <w:tcMar>
              <w:top w:w="57" w:type="dxa"/>
              <w:left w:w="57" w:type="dxa"/>
              <w:bottom w:w="57" w:type="dxa"/>
              <w:right w:w="57" w:type="dxa"/>
            </w:tcMar>
            <w:vAlign w:val="top"/>
          </w:tcPr>
          <w:p w14:paraId="2A5B9F1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w:t>
            </w:r>
            <w:r>
              <w:rPr>
                <w:rFonts w:hint="eastAsia" w:ascii="黑体" w:hAnsi="黑体" w:eastAsia="黑体" w:cs="黑体"/>
                <w:color w:val="FF0000"/>
                <w:spacing w:val="0"/>
                <w:sz w:val="21"/>
                <w:szCs w:val="21"/>
              </w:rPr>
              <w:t>采掘工作面体积大于0.5m3的空间内积聚的甲烷浓度达到2.0%时,附近20m内未停止工作、撤出人员、切断电源、进行处理。</w:t>
            </w:r>
          </w:p>
        </w:tc>
      </w:tr>
      <w:tr w14:paraId="15329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shd w:val="clear" w:color="auto" w:fill="auto"/>
            <w:tcMar>
              <w:top w:w="57" w:type="dxa"/>
              <w:left w:w="57" w:type="dxa"/>
              <w:bottom w:w="57" w:type="dxa"/>
              <w:right w:w="57" w:type="dxa"/>
            </w:tcMar>
            <w:vAlign w:val="top"/>
          </w:tcPr>
          <w:p w14:paraId="012C029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b/>
                <w:bCs/>
                <w:color w:val="009C46"/>
                <w:spacing w:val="0"/>
                <w:sz w:val="21"/>
                <w:szCs w:val="21"/>
              </w:rPr>
              <w:t>井下排放积聚瓦斯</w:t>
            </w:r>
            <w:r>
              <w:rPr>
                <w:rFonts w:hint="eastAsia" w:ascii="仿宋_GB2312" w:hAnsi="仿宋_GB2312" w:eastAsia="仿宋_GB2312" w:cs="仿宋_GB2312"/>
                <w:spacing w:val="0"/>
                <w:sz w:val="21"/>
                <w:szCs w:val="21"/>
              </w:rPr>
              <w:t>未</w:t>
            </w:r>
            <w:r>
              <w:rPr>
                <w:rFonts w:hint="eastAsia" w:ascii="黑体" w:hAnsi="黑体" w:eastAsia="黑体" w:cs="黑体"/>
                <w:strike/>
                <w:dstrike w:val="0"/>
                <w:color w:val="0000FF"/>
                <w:spacing w:val="0"/>
                <w:sz w:val="21"/>
                <w:szCs w:val="21"/>
              </w:rPr>
              <w:t>按照国家规定</w:t>
            </w:r>
            <w:r>
              <w:rPr>
                <w:rFonts w:hint="eastAsia" w:ascii="仿宋_GB2312" w:hAnsi="仿宋_GB2312" w:eastAsia="仿宋_GB2312" w:cs="仿宋_GB2312"/>
                <w:spacing w:val="0"/>
                <w:sz w:val="21"/>
                <w:szCs w:val="21"/>
              </w:rPr>
              <w:t>制定</w:t>
            </w:r>
            <w:r>
              <w:rPr>
                <w:rFonts w:hint="eastAsia" w:ascii="黑体" w:hAnsi="黑体" w:eastAsia="黑体" w:cs="黑体"/>
                <w:strike/>
                <w:dstrike w:val="0"/>
                <w:color w:val="0000FF"/>
                <w:spacing w:val="0"/>
                <w:sz w:val="21"/>
                <w:szCs w:val="21"/>
              </w:rPr>
              <w:t>并实施</w:t>
            </w:r>
            <w:r>
              <w:rPr>
                <w:rFonts w:hint="eastAsia" w:ascii="仿宋_GB2312" w:hAnsi="仿宋_GB2312" w:eastAsia="仿宋_GB2312" w:cs="仿宋_GB2312"/>
                <w:spacing w:val="0"/>
                <w:sz w:val="21"/>
                <w:szCs w:val="21"/>
              </w:rPr>
              <w:t>安全</w:t>
            </w:r>
            <w:r>
              <w:rPr>
                <w:rFonts w:hint="eastAsia" w:ascii="黑体" w:hAnsi="黑体" w:eastAsia="黑体" w:cs="黑体"/>
                <w:b/>
                <w:bCs/>
                <w:color w:val="009C46"/>
                <w:spacing w:val="0"/>
                <w:sz w:val="21"/>
                <w:szCs w:val="21"/>
              </w:rPr>
              <w:t>技术措施</w:t>
            </w:r>
            <w:r>
              <w:rPr>
                <w:rFonts w:hint="eastAsia" w:ascii="黑体" w:hAnsi="黑体" w:eastAsia="黑体" w:cs="黑体"/>
                <w:strike/>
                <w:dstrike w:val="0"/>
                <w:color w:val="0000FF"/>
                <w:spacing w:val="0"/>
                <w:sz w:val="21"/>
                <w:szCs w:val="21"/>
              </w:rPr>
              <w:t>进行作业</w:t>
            </w:r>
            <w:r>
              <w:rPr>
                <w:rFonts w:hint="eastAsia" w:ascii="仿宋_GB2312" w:hAnsi="仿宋_GB2312" w:eastAsia="仿宋_GB2312" w:cs="仿宋_GB2312"/>
                <w:spacing w:val="0"/>
                <w:sz w:val="21"/>
                <w:szCs w:val="21"/>
              </w:rPr>
              <w:t>的。</w:t>
            </w:r>
          </w:p>
          <w:p w14:paraId="659848E1">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*明确区分停风区恢复通风和排放瓦斯过程的具体要求</w:t>
            </w:r>
          </w:p>
        </w:tc>
        <w:tc>
          <w:tcPr>
            <w:tcW w:w="4501" w:type="dxa"/>
            <w:shd w:val="clear" w:color="auto" w:fill="auto"/>
            <w:tcMar>
              <w:top w:w="57" w:type="dxa"/>
              <w:left w:w="57" w:type="dxa"/>
              <w:bottom w:w="57" w:type="dxa"/>
              <w:right w:w="57" w:type="dxa"/>
            </w:tcMar>
            <w:vAlign w:val="top"/>
          </w:tcPr>
          <w:p w14:paraId="79B2133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zh-CN" w:eastAsia="zh-CN" w:bidi="zh-CN"/>
              </w:rPr>
            </w:pPr>
            <w:r>
              <w:rPr>
                <w:rFonts w:hint="eastAsia" w:ascii="仿宋_GB2312" w:hAnsi="仿宋_GB2312" w:eastAsia="仿宋_GB2312" w:cs="仿宋_GB2312"/>
                <w:spacing w:val="0"/>
                <w:sz w:val="21"/>
                <w:szCs w:val="21"/>
              </w:rPr>
              <w:t>（六）</w:t>
            </w:r>
            <w:r>
              <w:rPr>
                <w:rFonts w:hint="eastAsia" w:ascii="黑体" w:hAnsi="黑体" w:eastAsia="黑体" w:cs="黑体"/>
                <w:b/>
                <w:bCs/>
                <w:color w:val="009C46"/>
                <w:spacing w:val="0"/>
                <w:sz w:val="21"/>
                <w:szCs w:val="21"/>
              </w:rPr>
              <w:t>井下甲烷浓度或者二氧化碳浓度超过3.0%的停风区恢复通风时,</w:t>
            </w:r>
            <w:r>
              <w:rPr>
                <w:rFonts w:hint="eastAsia" w:ascii="仿宋_GB2312" w:hAnsi="仿宋_GB2312" w:eastAsia="仿宋_GB2312" w:cs="仿宋_GB2312"/>
                <w:spacing w:val="0"/>
                <w:sz w:val="21"/>
                <w:szCs w:val="21"/>
              </w:rPr>
              <w:t>未制定安全</w:t>
            </w:r>
            <w:r>
              <w:rPr>
                <w:rFonts w:hint="eastAsia" w:ascii="黑体" w:hAnsi="黑体" w:eastAsia="黑体" w:cs="黑体"/>
                <w:b/>
                <w:bCs/>
                <w:color w:val="009C46"/>
                <w:spacing w:val="0"/>
                <w:sz w:val="21"/>
                <w:szCs w:val="21"/>
              </w:rPr>
              <w:t>排放瓦斯措施</w:t>
            </w:r>
            <w:r>
              <w:rPr>
                <w:rFonts w:hint="eastAsia" w:ascii="黑体" w:hAnsi="黑体" w:eastAsia="黑体" w:cs="黑体"/>
                <w:color w:val="FF0000"/>
                <w:spacing w:val="0"/>
                <w:sz w:val="21"/>
                <w:szCs w:val="21"/>
              </w:rPr>
              <w:t>并经煤矿总工程师批准实施</w:t>
            </w:r>
            <w:r>
              <w:rPr>
                <w:rFonts w:hint="eastAsia" w:ascii="仿宋_GB2312" w:hAnsi="仿宋_GB2312" w:eastAsia="仿宋_GB2312" w:cs="仿宋_GB2312"/>
                <w:spacing w:val="0"/>
                <w:sz w:val="21"/>
                <w:szCs w:val="21"/>
              </w:rPr>
              <w:t>。</w:t>
            </w:r>
          </w:p>
        </w:tc>
      </w:tr>
      <w:tr w14:paraId="5C51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center"/>
          </w:tcPr>
          <w:p w14:paraId="684D260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default" w:ascii="黑体" w:hAnsi="黑体" w:eastAsia="黑体" w:cs="黑体"/>
                <w:color w:val="FF0000"/>
                <w:spacing w:val="0"/>
                <w:sz w:val="21"/>
                <w:szCs w:val="21"/>
                <w:lang w:val="en-US" w:eastAsia="zh-CN"/>
              </w:rPr>
            </w:pPr>
          </w:p>
        </w:tc>
        <w:tc>
          <w:tcPr>
            <w:tcW w:w="4501" w:type="dxa"/>
            <w:tcMar>
              <w:top w:w="57" w:type="dxa"/>
              <w:left w:w="57" w:type="dxa"/>
              <w:bottom w:w="57" w:type="dxa"/>
              <w:right w:w="57" w:type="dxa"/>
            </w:tcMar>
            <w:vAlign w:val="top"/>
          </w:tcPr>
          <w:p w14:paraId="71F1622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w:t>
            </w:r>
            <w:r>
              <w:rPr>
                <w:rFonts w:hint="eastAsia" w:ascii="黑体" w:hAnsi="黑体" w:eastAsia="黑体" w:cs="黑体"/>
                <w:color w:val="FF0000"/>
                <w:spacing w:val="0"/>
                <w:sz w:val="21"/>
                <w:szCs w:val="21"/>
              </w:rPr>
              <w:t>井下排放瓦斯过程中,混合风流经过的巷道内未停电撤人或者排出的瓦斯与全风压风流混合处的甲烷、二氧化碳浓度超过1.5%</w:t>
            </w:r>
            <w:r>
              <w:rPr>
                <w:rFonts w:hint="eastAsia" w:ascii="仿宋_GB2312" w:hAnsi="仿宋_GB2312" w:eastAsia="仿宋_GB2312" w:cs="仿宋_GB2312"/>
                <w:spacing w:val="0"/>
                <w:sz w:val="21"/>
                <w:szCs w:val="21"/>
              </w:rPr>
              <w:t>。</w:t>
            </w:r>
          </w:p>
        </w:tc>
      </w:tr>
      <w:tr w14:paraId="74D3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7135160C">
            <w:pPr>
              <w:pStyle w:val="11"/>
              <w:keepNext w:val="0"/>
              <w:keepLines w:val="0"/>
              <w:pageBreakBefore w:val="0"/>
              <w:widowControl w:val="0"/>
              <w:kinsoku/>
              <w:wordWrap/>
              <w:overflowPunct/>
              <w:topLinePunct w:val="0"/>
              <w:autoSpaceDE w:val="0"/>
              <w:autoSpaceDN w:val="0"/>
              <w:bidi w:val="0"/>
              <w:adjustRightInd/>
              <w:snapToGrid/>
              <w:spacing w:before="0" w:beforeLines="50" w:after="0" w:afterLines="50" w:line="280" w:lineRule="exact"/>
              <w:ind w:left="0" w:leftChars="0" w:right="0" w:rightChars="0" w:firstLine="0" w:firstLineChars="0"/>
              <w:jc w:val="center"/>
              <w:textAlignment w:val="auto"/>
              <w:rPr>
                <w:rFonts w:hint="eastAsia" w:ascii="黑体" w:hAnsi="黑体" w:eastAsia="黑体" w:cs="黑体"/>
                <w:color w:val="FF0000"/>
                <w:spacing w:val="0"/>
                <w:sz w:val="21"/>
                <w:szCs w:val="21"/>
                <w:lang w:val="en-US" w:eastAsia="zh-CN"/>
              </w:rPr>
            </w:pPr>
            <w:r>
              <w:rPr>
                <w:rFonts w:hint="eastAsia" w:ascii="黑体" w:hAnsi="黑体" w:eastAsia="黑体" w:cs="黑体"/>
                <w:color w:val="FF0000"/>
                <w:spacing w:val="0"/>
                <w:sz w:val="21"/>
                <w:szCs w:val="21"/>
                <w:lang w:val="en-US" w:eastAsia="zh-CN"/>
              </w:rPr>
              <w:t>新  增</w:t>
            </w:r>
          </w:p>
          <w:p w14:paraId="0D4330A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left"/>
              <w:textAlignment w:val="auto"/>
              <w:rPr>
                <w:rFonts w:hint="eastAsia" w:ascii="黑体" w:hAnsi="黑体" w:eastAsia="黑体" w:cs="黑体"/>
                <w:color w:val="FF0000"/>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*明确治理不到位的量化判定</w:t>
            </w:r>
          </w:p>
        </w:tc>
        <w:tc>
          <w:tcPr>
            <w:tcW w:w="4501" w:type="dxa"/>
            <w:shd w:val="clear" w:color="auto" w:fill="auto"/>
            <w:tcMar>
              <w:top w:w="57" w:type="dxa"/>
              <w:left w:w="57" w:type="dxa"/>
              <w:bottom w:w="57" w:type="dxa"/>
              <w:right w:w="57" w:type="dxa"/>
            </w:tcMar>
            <w:vAlign w:val="top"/>
          </w:tcPr>
          <w:p w14:paraId="3DE39F2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zh-CN" w:eastAsia="zh-CN" w:bidi="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八</w:t>
            </w:r>
            <w:r>
              <w:rPr>
                <w:rFonts w:hint="eastAsia" w:ascii="仿宋_GB2312" w:hAnsi="仿宋_GB2312" w:eastAsia="仿宋_GB2312" w:cs="仿宋_GB2312"/>
                <w:spacing w:val="0"/>
                <w:sz w:val="21"/>
                <w:szCs w:val="21"/>
                <w:lang w:eastAsia="zh-CN"/>
              </w:rPr>
              <w:t>）</w:t>
            </w:r>
            <w:r>
              <w:rPr>
                <w:rFonts w:hint="eastAsia" w:ascii="黑体" w:hAnsi="黑体" w:eastAsia="黑体" w:cs="黑体"/>
                <w:color w:val="FF0000"/>
                <w:spacing w:val="0"/>
                <w:sz w:val="21"/>
                <w:szCs w:val="21"/>
              </w:rPr>
              <w:t>采掘工作面因瓦斯治理不到位造成甲烷浓度达到3</w:t>
            </w:r>
            <w:r>
              <w:rPr>
                <w:rFonts w:hint="eastAsia" w:ascii="黑体" w:hAnsi="黑体" w:eastAsia="黑体" w:cs="黑体"/>
                <w:color w:val="FF0000"/>
                <w:spacing w:val="0"/>
                <w:sz w:val="21"/>
                <w:szCs w:val="21"/>
                <w:lang w:val="en-US" w:eastAsia="zh-CN"/>
              </w:rPr>
              <w:t>.</w:t>
            </w:r>
            <w:r>
              <w:rPr>
                <w:rFonts w:hint="eastAsia" w:ascii="黑体" w:hAnsi="黑体" w:eastAsia="黑体" w:cs="黑体"/>
                <w:color w:val="FF0000"/>
                <w:spacing w:val="0"/>
                <w:sz w:val="21"/>
                <w:szCs w:val="21"/>
              </w:rPr>
              <w:t>0%以上且持续时长超过10min</w:t>
            </w:r>
            <w:r>
              <w:rPr>
                <w:rFonts w:hint="eastAsia" w:ascii="黑体" w:hAnsi="黑体" w:eastAsia="黑体" w:cs="黑体"/>
                <w:color w:val="FF0000"/>
                <w:spacing w:val="0"/>
                <w:sz w:val="21"/>
                <w:szCs w:val="21"/>
                <w:lang w:eastAsia="zh-CN"/>
              </w:rPr>
              <w:t>（</w:t>
            </w:r>
            <w:r>
              <w:rPr>
                <w:rFonts w:hint="eastAsia" w:ascii="黑体" w:hAnsi="黑体" w:eastAsia="黑体" w:cs="黑体"/>
                <w:color w:val="FF0000"/>
                <w:spacing w:val="0"/>
                <w:sz w:val="21"/>
                <w:szCs w:val="21"/>
              </w:rPr>
              <w:t>停电停风及打钻喷孔除外</w:t>
            </w:r>
            <w:r>
              <w:rPr>
                <w:rFonts w:hint="eastAsia" w:ascii="黑体" w:hAnsi="黑体" w:eastAsia="黑体" w:cs="黑体"/>
                <w:color w:val="FF0000"/>
                <w:spacing w:val="0"/>
                <w:sz w:val="21"/>
                <w:szCs w:val="21"/>
                <w:lang w:eastAsia="zh-CN"/>
              </w:rPr>
              <w:t>）。</w:t>
            </w:r>
          </w:p>
        </w:tc>
      </w:tr>
      <w:tr w14:paraId="7552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4DDB29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left"/>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（五）瓦斯抽采不达标</w:t>
            </w:r>
            <w:r>
              <w:rPr>
                <w:rFonts w:hint="eastAsia" w:ascii="黑体" w:hAnsi="黑体" w:eastAsia="黑体" w:cs="黑体"/>
                <w:strike/>
                <w:dstrike w:val="0"/>
                <w:color w:val="0000FF"/>
                <w:spacing w:val="0"/>
                <w:sz w:val="21"/>
                <w:szCs w:val="21"/>
              </w:rPr>
              <w:t>组织生产</w:t>
            </w:r>
            <w:r>
              <w:rPr>
                <w:rFonts w:hint="eastAsia" w:ascii="仿宋_GB2312" w:hAnsi="仿宋_GB2312" w:eastAsia="仿宋_GB2312" w:cs="仿宋_GB2312"/>
                <w:spacing w:val="0"/>
                <w:sz w:val="21"/>
                <w:szCs w:val="21"/>
              </w:rPr>
              <w:t>的；</w:t>
            </w:r>
          </w:p>
          <w:p w14:paraId="11FC5DE7">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firstLine="0" w:firstLineChars="0"/>
              <w:jc w:val="left"/>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原第四条第（五）款</w:t>
            </w:r>
          </w:p>
          <w:p w14:paraId="733BF42B">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firstLine="0" w:firstLineChars="0"/>
              <w:jc w:val="left"/>
              <w:textAlignment w:val="auto"/>
              <w:rPr>
                <w:rFonts w:hint="default"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w:t>
            </w:r>
            <w:r>
              <w:rPr>
                <w:rFonts w:hint="default" w:ascii="黑体" w:hAnsi="黑体" w:eastAsia="黑体" w:cs="黑体"/>
                <w:b/>
                <w:bCs/>
                <w:color w:val="E46C0A" w:themeColor="accent6" w:themeShade="BF"/>
                <w:spacing w:val="0"/>
                <w:sz w:val="18"/>
                <w:szCs w:val="18"/>
                <w:lang w:val="en-US" w:eastAsia="zh-CN"/>
              </w:rPr>
              <w:t>将抽采不达标细化为量化的三</w:t>
            </w:r>
            <w:r>
              <w:rPr>
                <w:rFonts w:hint="eastAsia" w:ascii="黑体" w:hAnsi="黑体" w:eastAsia="黑体" w:cs="黑体"/>
                <w:b/>
                <w:bCs/>
                <w:color w:val="E46C0A" w:themeColor="accent6" w:themeShade="BF"/>
                <w:spacing w:val="0"/>
                <w:sz w:val="18"/>
                <w:szCs w:val="18"/>
                <w:lang w:val="en-US" w:eastAsia="zh-CN"/>
              </w:rPr>
              <w:t>项</w:t>
            </w:r>
            <w:r>
              <w:rPr>
                <w:rFonts w:hint="default" w:ascii="黑体" w:hAnsi="黑体" w:eastAsia="黑体" w:cs="黑体"/>
                <w:b/>
                <w:bCs/>
                <w:color w:val="E46C0A" w:themeColor="accent6" w:themeShade="BF"/>
                <w:spacing w:val="0"/>
                <w:sz w:val="18"/>
                <w:szCs w:val="18"/>
                <w:lang w:val="en-US" w:eastAsia="zh-CN"/>
              </w:rPr>
              <w:t>指标</w:t>
            </w:r>
            <w:r>
              <w:rPr>
                <w:rFonts w:hint="eastAsia" w:ascii="黑体" w:hAnsi="黑体" w:eastAsia="黑体" w:cs="黑体"/>
                <w:b/>
                <w:bCs/>
                <w:color w:val="E46C0A" w:themeColor="accent6" w:themeShade="BF"/>
                <w:spacing w:val="0"/>
                <w:sz w:val="18"/>
                <w:szCs w:val="18"/>
                <w:lang w:val="en-US" w:eastAsia="zh-CN"/>
              </w:rPr>
              <w:t>（回采前、采煤面抽采率、矿井抽采率）</w:t>
            </w:r>
          </w:p>
        </w:tc>
        <w:tc>
          <w:tcPr>
            <w:tcW w:w="4501" w:type="dxa"/>
            <w:tcMar>
              <w:top w:w="57" w:type="dxa"/>
              <w:left w:w="57" w:type="dxa"/>
              <w:bottom w:w="57" w:type="dxa"/>
              <w:right w:w="57" w:type="dxa"/>
            </w:tcMar>
            <w:vAlign w:val="top"/>
          </w:tcPr>
          <w:p w14:paraId="5FD80EE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val="0"/>
                <w:spacing w:val="0"/>
                <w:sz w:val="21"/>
                <w:szCs w:val="21"/>
              </w:rPr>
            </w:pPr>
            <w:r>
              <w:rPr>
                <w:rFonts w:hint="eastAsia" w:ascii="仿宋_GB2312" w:hAnsi="仿宋_GB2312" w:eastAsia="仿宋_GB2312" w:cs="仿宋_GB2312"/>
                <w:b w:val="0"/>
                <w:bCs w:val="0"/>
                <w:spacing w:val="0"/>
                <w:sz w:val="21"/>
                <w:szCs w:val="21"/>
              </w:rPr>
              <w:t>（九）</w:t>
            </w:r>
            <w:r>
              <w:rPr>
                <w:rFonts w:hint="eastAsia" w:ascii="黑体" w:hAnsi="黑体" w:eastAsia="黑体" w:cs="黑体"/>
                <w:b w:val="0"/>
                <w:bCs w:val="0"/>
                <w:color w:val="FF0000"/>
                <w:spacing w:val="0"/>
                <w:sz w:val="21"/>
                <w:szCs w:val="21"/>
              </w:rPr>
              <w:t>存在下列</w:t>
            </w:r>
            <w:r>
              <w:rPr>
                <w:rFonts w:hint="eastAsia" w:ascii="仿宋_GB2312" w:hAnsi="仿宋_GB2312" w:eastAsia="仿宋_GB2312" w:cs="仿宋_GB2312"/>
                <w:b w:val="0"/>
                <w:bCs w:val="0"/>
                <w:spacing w:val="0"/>
                <w:sz w:val="21"/>
                <w:szCs w:val="21"/>
              </w:rPr>
              <w:t>瓦斯抽采不达标</w:t>
            </w:r>
            <w:r>
              <w:rPr>
                <w:rFonts w:hint="eastAsia" w:ascii="黑体" w:hAnsi="黑体" w:eastAsia="黑体" w:cs="黑体"/>
                <w:b w:val="0"/>
                <w:bCs w:val="0"/>
                <w:color w:val="FF0000"/>
                <w:spacing w:val="0"/>
                <w:sz w:val="21"/>
                <w:szCs w:val="21"/>
              </w:rPr>
              <w:t>情形之一</w:t>
            </w:r>
            <w:r>
              <w:rPr>
                <w:rFonts w:hint="eastAsia" w:ascii="仿宋_GB2312" w:hAnsi="仿宋_GB2312" w:eastAsia="仿宋_GB2312" w:cs="仿宋_GB2312"/>
                <w:b w:val="0"/>
                <w:bCs w:val="0"/>
                <w:spacing w:val="0"/>
                <w:sz w:val="21"/>
                <w:szCs w:val="21"/>
              </w:rPr>
              <w:t>的:</w:t>
            </w:r>
          </w:p>
          <w:p w14:paraId="68E9F29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val="0"/>
                <w:color w:val="FF0000"/>
                <w:spacing w:val="0"/>
                <w:sz w:val="21"/>
                <w:szCs w:val="21"/>
                <w:lang w:eastAsia="zh-CN"/>
              </w:rPr>
            </w:pPr>
            <w:r>
              <w:rPr>
                <w:rFonts w:hint="eastAsia" w:ascii="黑体" w:hAnsi="黑体" w:eastAsia="黑体" w:cs="黑体"/>
                <w:b w:val="0"/>
                <w:bCs w:val="0"/>
                <w:color w:val="FF0000"/>
                <w:spacing w:val="0"/>
                <w:sz w:val="21"/>
                <w:szCs w:val="21"/>
              </w:rPr>
              <w:t>1</w:t>
            </w:r>
            <w:r>
              <w:rPr>
                <w:rFonts w:hint="eastAsia" w:ascii="黑体" w:hAnsi="黑体" w:eastAsia="黑体" w:cs="黑体"/>
                <w:b w:val="0"/>
                <w:bCs w:val="0"/>
                <w:color w:val="FF0000"/>
                <w:spacing w:val="0"/>
                <w:sz w:val="21"/>
                <w:szCs w:val="21"/>
                <w:lang w:val="en-US" w:eastAsia="zh-CN"/>
              </w:rPr>
              <w:t>.</w:t>
            </w:r>
            <w:r>
              <w:rPr>
                <w:rFonts w:hint="eastAsia" w:ascii="黑体" w:hAnsi="黑体" w:eastAsia="黑体" w:cs="黑体"/>
                <w:b w:val="0"/>
                <w:bCs w:val="0"/>
                <w:color w:val="FF0000"/>
                <w:spacing w:val="0"/>
                <w:sz w:val="21"/>
                <w:szCs w:val="21"/>
              </w:rPr>
              <w:t>瓦斯涌出量主要来自于开采层时,采煤工作面前方20m以上范围内煤的可解吸瓦斯量不符合表1规定</w:t>
            </w:r>
            <w:r>
              <w:rPr>
                <w:rFonts w:hint="eastAsia" w:ascii="黑体" w:hAnsi="黑体" w:eastAsia="黑体" w:cs="黑体"/>
                <w:b w:val="0"/>
                <w:bCs w:val="0"/>
                <w:color w:val="FF0000"/>
                <w:spacing w:val="0"/>
                <w:sz w:val="21"/>
                <w:szCs w:val="21"/>
                <w:lang w:eastAsia="zh-CN"/>
              </w:rPr>
              <w:t>。</w:t>
            </w:r>
          </w:p>
          <w:p w14:paraId="5227EE0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val="0"/>
                <w:color w:val="FF0000"/>
                <w:spacing w:val="0"/>
                <w:sz w:val="18"/>
                <w:szCs w:val="18"/>
                <w:lang w:val="en-US" w:eastAsia="zh-CN"/>
              </w:rPr>
            </w:pPr>
            <w:r>
              <w:rPr>
                <w:rFonts w:hint="eastAsia" w:ascii="黑体" w:hAnsi="黑体" w:eastAsia="黑体" w:cs="黑体"/>
                <w:b w:val="0"/>
                <w:bCs w:val="0"/>
                <w:color w:val="FF0000"/>
                <w:spacing w:val="0"/>
                <w:sz w:val="18"/>
                <w:szCs w:val="18"/>
                <w:lang w:val="en-US" w:eastAsia="zh-CN"/>
              </w:rPr>
              <w:t>表1 采煤工作面回采前煤的可解吸瓦斯量应达到的指标</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237"/>
              <w:gridCol w:w="2015"/>
            </w:tblGrid>
            <w:tr w14:paraId="4F33829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top w:val="single" w:color="231F20" w:sz="4" w:space="0"/>
                    <w:left w:val="nil"/>
                  </w:tcBorders>
                  <w:vAlign w:val="center"/>
                </w:tcPr>
                <w:p w14:paraId="2C68F97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lang w:eastAsia="zh-CN"/>
                    </w:rPr>
                  </w:pPr>
                  <w:r>
                    <w:rPr>
                      <w:rFonts w:hint="eastAsia" w:ascii="仿宋_GB2312" w:hAnsi="仿宋_GB2312" w:eastAsia="仿宋_GB2312" w:cs="仿宋_GB2312"/>
                      <w:b w:val="0"/>
                      <w:bCs w:val="0"/>
                      <w:color w:val="FF0000"/>
                      <w:spacing w:val="0"/>
                      <w:sz w:val="18"/>
                      <w:szCs w:val="18"/>
                    </w:rPr>
                    <w:t>工作面日产量</w:t>
                  </w:r>
                  <w:r>
                    <w:rPr>
                      <w:rFonts w:hint="eastAsia" w:ascii="仿宋_GB2312" w:hAnsi="仿宋_GB2312" w:eastAsia="仿宋_GB2312" w:cs="仿宋_GB2312"/>
                      <w:b w:val="0"/>
                      <w:bCs w:val="0"/>
                      <w:i/>
                      <w:iCs/>
                      <w:color w:val="FF0000"/>
                      <w:spacing w:val="0"/>
                      <w:sz w:val="18"/>
                      <w:szCs w:val="18"/>
                    </w:rPr>
                    <w:t>A</w:t>
                  </w:r>
                  <w:r>
                    <w:rPr>
                      <w:rFonts w:hint="eastAsia" w:ascii="仿宋_GB2312" w:hAnsi="仿宋_GB2312" w:eastAsia="仿宋_GB2312" w:cs="仿宋_GB2312"/>
                      <w:b w:val="0"/>
                      <w:bCs w:val="0"/>
                      <w:color w:val="FF0000"/>
                      <w:spacing w:val="0"/>
                      <w:sz w:val="18"/>
                      <w:szCs w:val="18"/>
                      <w:lang w:eastAsia="zh-CN"/>
                    </w:rPr>
                    <w:t>（</w:t>
                  </w:r>
                  <w:r>
                    <w:rPr>
                      <w:rFonts w:hint="eastAsia" w:ascii="仿宋_GB2312" w:hAnsi="仿宋_GB2312" w:eastAsia="仿宋_GB2312" w:cs="仿宋_GB2312"/>
                      <w:b w:val="0"/>
                      <w:bCs w:val="0"/>
                      <w:color w:val="FF0000"/>
                      <w:spacing w:val="0"/>
                      <w:sz w:val="18"/>
                      <w:szCs w:val="18"/>
                    </w:rPr>
                    <w:t>t</w:t>
                  </w:r>
                  <w:r>
                    <w:rPr>
                      <w:rFonts w:hint="eastAsia" w:ascii="仿宋_GB2312" w:hAnsi="仿宋_GB2312" w:eastAsia="仿宋_GB2312" w:cs="仿宋_GB2312"/>
                      <w:b w:val="0"/>
                      <w:bCs w:val="0"/>
                      <w:color w:val="FF0000"/>
                      <w:spacing w:val="0"/>
                      <w:sz w:val="18"/>
                      <w:szCs w:val="18"/>
                      <w:lang w:eastAsia="zh-CN"/>
                    </w:rPr>
                    <w:t>）</w:t>
                  </w:r>
                </w:p>
              </w:tc>
              <w:tc>
                <w:tcPr>
                  <w:tcW w:w="1953" w:type="dxa"/>
                  <w:tcBorders>
                    <w:top w:val="single" w:color="231F20" w:sz="4" w:space="0"/>
                    <w:right w:val="nil"/>
                  </w:tcBorders>
                  <w:vAlign w:val="center"/>
                </w:tcPr>
                <w:p w14:paraId="69181CF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lang w:eastAsia="zh-CN"/>
                    </w:rPr>
                  </w:pPr>
                  <w:r>
                    <w:rPr>
                      <w:rFonts w:hint="eastAsia" w:ascii="仿宋_GB2312" w:hAnsi="仿宋_GB2312" w:eastAsia="仿宋_GB2312" w:cs="仿宋_GB2312"/>
                      <w:b w:val="0"/>
                      <w:bCs w:val="0"/>
                      <w:color w:val="FF0000"/>
                      <w:spacing w:val="0"/>
                      <w:sz w:val="18"/>
                      <w:szCs w:val="18"/>
                    </w:rPr>
                    <w:t>可解吸瓦斯量</w:t>
                  </w:r>
                  <w:r>
                    <w:rPr>
                      <w:rFonts w:hint="eastAsia" w:ascii="仿宋_GB2312" w:hAnsi="仿宋_GB2312" w:eastAsia="仿宋_GB2312" w:cs="仿宋_GB2312"/>
                      <w:b w:val="0"/>
                      <w:bCs w:val="0"/>
                      <w:color w:val="FF0000"/>
                      <w:spacing w:val="0"/>
                      <w:sz w:val="18"/>
                      <w:szCs w:val="18"/>
                      <w:lang w:eastAsia="zh-CN"/>
                    </w:rPr>
                    <w:t>（</w:t>
                  </w:r>
                  <w:r>
                    <w:rPr>
                      <w:rFonts w:hint="eastAsia" w:ascii="仿宋_GB2312" w:hAnsi="仿宋_GB2312" w:eastAsia="仿宋_GB2312" w:cs="仿宋_GB2312"/>
                      <w:b w:val="0"/>
                      <w:bCs w:val="0"/>
                      <w:color w:val="FF0000"/>
                      <w:spacing w:val="0"/>
                      <w:sz w:val="18"/>
                      <w:szCs w:val="18"/>
                    </w:rPr>
                    <w:t>m</w:t>
                  </w:r>
                  <w:r>
                    <w:rPr>
                      <w:rFonts w:hint="eastAsia" w:ascii="仿宋_GB2312" w:hAnsi="仿宋_GB2312" w:eastAsia="仿宋_GB2312" w:cs="仿宋_GB2312"/>
                      <w:b w:val="0"/>
                      <w:bCs w:val="0"/>
                      <w:color w:val="FF0000"/>
                      <w:spacing w:val="0"/>
                      <w:sz w:val="18"/>
                      <w:szCs w:val="18"/>
                      <w:vertAlign w:val="superscript"/>
                    </w:rPr>
                    <w:t>3</w:t>
                  </w:r>
                  <w:r>
                    <w:rPr>
                      <w:rFonts w:hint="eastAsia" w:ascii="仿宋_GB2312" w:hAnsi="仿宋_GB2312" w:eastAsia="仿宋_GB2312" w:cs="仿宋_GB2312"/>
                      <w:b w:val="0"/>
                      <w:bCs w:val="0"/>
                      <w:color w:val="FF0000"/>
                      <w:spacing w:val="0"/>
                      <w:sz w:val="18"/>
                      <w:szCs w:val="18"/>
                    </w:rPr>
                    <w:t>/t</w:t>
                  </w:r>
                  <w:r>
                    <w:rPr>
                      <w:rFonts w:hint="eastAsia" w:ascii="仿宋_GB2312" w:hAnsi="仿宋_GB2312" w:eastAsia="仿宋_GB2312" w:cs="仿宋_GB2312"/>
                      <w:b w:val="0"/>
                      <w:bCs w:val="0"/>
                      <w:color w:val="FF0000"/>
                      <w:spacing w:val="0"/>
                      <w:sz w:val="18"/>
                      <w:szCs w:val="18"/>
                      <w:lang w:eastAsia="zh-CN"/>
                    </w:rPr>
                    <w:t>）</w:t>
                  </w:r>
                </w:p>
              </w:tc>
            </w:tr>
            <w:tr w14:paraId="6A3A508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tcBorders>
                  <w:vAlign w:val="center"/>
                </w:tcPr>
                <w:p w14:paraId="53C0F6F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A≤1000</w:t>
                  </w:r>
                </w:p>
              </w:tc>
              <w:tc>
                <w:tcPr>
                  <w:tcW w:w="1953" w:type="dxa"/>
                  <w:tcBorders>
                    <w:right w:val="nil"/>
                  </w:tcBorders>
                  <w:vAlign w:val="center"/>
                </w:tcPr>
                <w:p w14:paraId="0A50A09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≤8</w:t>
                  </w:r>
                </w:p>
              </w:tc>
            </w:tr>
            <w:tr w14:paraId="0494F0F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tcBorders>
                  <w:vAlign w:val="center"/>
                </w:tcPr>
                <w:p w14:paraId="279A3FC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1000＜A≤2500</w:t>
                  </w:r>
                </w:p>
              </w:tc>
              <w:tc>
                <w:tcPr>
                  <w:tcW w:w="1953" w:type="dxa"/>
                  <w:tcBorders>
                    <w:right w:val="nil"/>
                  </w:tcBorders>
                  <w:vAlign w:val="center"/>
                </w:tcPr>
                <w:p w14:paraId="6E9ED47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≤7</w:t>
                  </w:r>
                </w:p>
              </w:tc>
            </w:tr>
            <w:tr w14:paraId="0D70ABC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tcBorders>
                  <w:vAlign w:val="center"/>
                </w:tcPr>
                <w:p w14:paraId="5031C3C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2500＜A≤4000</w:t>
                  </w:r>
                </w:p>
              </w:tc>
              <w:tc>
                <w:tcPr>
                  <w:tcW w:w="1953" w:type="dxa"/>
                  <w:tcBorders>
                    <w:right w:val="nil"/>
                  </w:tcBorders>
                  <w:vAlign w:val="center"/>
                </w:tcPr>
                <w:p w14:paraId="39436E4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≤6</w:t>
                  </w:r>
                </w:p>
              </w:tc>
            </w:tr>
            <w:tr w14:paraId="322B88B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tcBorders>
                  <w:vAlign w:val="center"/>
                </w:tcPr>
                <w:p w14:paraId="3407D66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4000＜A≤6000</w:t>
                  </w:r>
                </w:p>
              </w:tc>
              <w:tc>
                <w:tcPr>
                  <w:tcW w:w="1953" w:type="dxa"/>
                  <w:tcBorders>
                    <w:right w:val="nil"/>
                  </w:tcBorders>
                  <w:vAlign w:val="center"/>
                </w:tcPr>
                <w:p w14:paraId="34BED47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≤5</w:t>
                  </w:r>
                  <w:r>
                    <w:rPr>
                      <w:rFonts w:hint="eastAsia" w:ascii="仿宋_GB2312" w:hAnsi="仿宋_GB2312" w:eastAsia="仿宋_GB2312" w:cs="仿宋_GB2312"/>
                      <w:b w:val="0"/>
                      <w:bCs w:val="0"/>
                      <w:color w:val="FF0000"/>
                      <w:spacing w:val="0"/>
                      <w:sz w:val="18"/>
                      <w:szCs w:val="18"/>
                      <w:lang w:val="en-US" w:eastAsia="zh-CN"/>
                    </w:rPr>
                    <w:t>.</w:t>
                  </w:r>
                  <w:r>
                    <w:rPr>
                      <w:rFonts w:hint="eastAsia" w:ascii="仿宋_GB2312" w:hAnsi="仿宋_GB2312" w:eastAsia="仿宋_GB2312" w:cs="仿宋_GB2312"/>
                      <w:b w:val="0"/>
                      <w:bCs w:val="0"/>
                      <w:color w:val="FF0000"/>
                      <w:spacing w:val="0"/>
                      <w:sz w:val="18"/>
                      <w:szCs w:val="18"/>
                    </w:rPr>
                    <w:t>5</w:t>
                  </w:r>
                </w:p>
              </w:tc>
            </w:tr>
            <w:tr w14:paraId="27B19DA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tcBorders>
                  <w:vAlign w:val="center"/>
                </w:tcPr>
                <w:p w14:paraId="4A0536D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6000＜A≤8000</w:t>
                  </w:r>
                </w:p>
              </w:tc>
              <w:tc>
                <w:tcPr>
                  <w:tcW w:w="1953" w:type="dxa"/>
                  <w:tcBorders>
                    <w:right w:val="nil"/>
                  </w:tcBorders>
                  <w:vAlign w:val="center"/>
                </w:tcPr>
                <w:p w14:paraId="306F112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≤5</w:t>
                  </w:r>
                </w:p>
              </w:tc>
            </w:tr>
            <w:tr w14:paraId="4ABDB45A">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tcBorders>
                  <w:vAlign w:val="center"/>
                </w:tcPr>
                <w:p w14:paraId="401F4A6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8000＜A≤10000</w:t>
                  </w:r>
                </w:p>
              </w:tc>
              <w:tc>
                <w:tcPr>
                  <w:tcW w:w="1953" w:type="dxa"/>
                  <w:tcBorders>
                    <w:right w:val="nil"/>
                  </w:tcBorders>
                  <w:vAlign w:val="center"/>
                </w:tcPr>
                <w:p w14:paraId="44D6BE0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w:t>
                  </w:r>
                  <w:r>
                    <w:rPr>
                      <w:rFonts w:hint="eastAsia" w:ascii="仿宋_GB2312" w:hAnsi="仿宋_GB2312" w:eastAsia="仿宋_GB2312" w:cs="仿宋_GB2312"/>
                      <w:b w:val="0"/>
                      <w:bCs w:val="0"/>
                      <w:color w:val="FF0000"/>
                      <w:spacing w:val="0"/>
                      <w:sz w:val="18"/>
                      <w:szCs w:val="18"/>
                      <w:lang w:val="en-US" w:eastAsia="zh-CN"/>
                    </w:rPr>
                    <w:t>.</w:t>
                  </w:r>
                  <w:r>
                    <w:rPr>
                      <w:rFonts w:hint="eastAsia" w:ascii="仿宋_GB2312" w:hAnsi="仿宋_GB2312" w:eastAsia="仿宋_GB2312" w:cs="仿宋_GB2312"/>
                      <w:b w:val="0"/>
                      <w:bCs w:val="0"/>
                      <w:color w:val="FF0000"/>
                      <w:spacing w:val="0"/>
                      <w:sz w:val="18"/>
                      <w:szCs w:val="18"/>
                    </w:rPr>
                    <w:t>5</w:t>
                  </w:r>
                </w:p>
              </w:tc>
            </w:tr>
            <w:tr w14:paraId="19215941">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169" w:type="dxa"/>
                  <w:tcBorders>
                    <w:left w:val="nil"/>
                    <w:bottom w:val="single" w:color="231F20" w:sz="4" w:space="0"/>
                  </w:tcBorders>
                  <w:vAlign w:val="center"/>
                </w:tcPr>
                <w:p w14:paraId="4779F1D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A＞10000</w:t>
                  </w:r>
                </w:p>
              </w:tc>
              <w:tc>
                <w:tcPr>
                  <w:tcW w:w="1953" w:type="dxa"/>
                  <w:tcBorders>
                    <w:bottom w:val="single" w:color="231F20" w:sz="4" w:space="0"/>
                    <w:right w:val="nil"/>
                  </w:tcBorders>
                  <w:vAlign w:val="center"/>
                </w:tcPr>
                <w:p w14:paraId="007974D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w:t>
                  </w:r>
                </w:p>
              </w:tc>
            </w:tr>
          </w:tbl>
          <w:p w14:paraId="0FD6C21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val="0"/>
                <w:color w:val="FF0000"/>
                <w:spacing w:val="0"/>
                <w:sz w:val="21"/>
                <w:szCs w:val="21"/>
                <w:lang w:eastAsia="zh-CN"/>
              </w:rPr>
            </w:pPr>
            <w:r>
              <w:rPr>
                <w:rFonts w:hint="eastAsia" w:ascii="黑体" w:hAnsi="黑体" w:eastAsia="黑体" w:cs="黑体"/>
                <w:b w:val="0"/>
                <w:bCs w:val="0"/>
                <w:color w:val="FF0000"/>
                <w:spacing w:val="0"/>
                <w:sz w:val="21"/>
                <w:szCs w:val="21"/>
              </w:rPr>
              <w:t>2</w:t>
            </w:r>
            <w:r>
              <w:rPr>
                <w:rFonts w:hint="eastAsia" w:ascii="黑体" w:hAnsi="黑体" w:eastAsia="黑体" w:cs="黑体"/>
                <w:b w:val="0"/>
                <w:bCs w:val="0"/>
                <w:color w:val="FF0000"/>
                <w:spacing w:val="0"/>
                <w:sz w:val="21"/>
                <w:szCs w:val="21"/>
                <w:lang w:val="en-US" w:eastAsia="zh-CN"/>
              </w:rPr>
              <w:t>.</w:t>
            </w:r>
            <w:r>
              <w:rPr>
                <w:rFonts w:hint="eastAsia" w:ascii="黑体" w:hAnsi="黑体" w:eastAsia="黑体" w:cs="黑体"/>
                <w:b w:val="0"/>
                <w:bCs w:val="0"/>
                <w:color w:val="FF0000"/>
                <w:spacing w:val="0"/>
                <w:sz w:val="21"/>
                <w:szCs w:val="21"/>
              </w:rPr>
              <w:t>瓦斯涌出量主要来自于邻近层和围岩时,采煤工作面瓦斯抽采率不符合表2规定</w:t>
            </w:r>
            <w:r>
              <w:rPr>
                <w:rFonts w:hint="eastAsia" w:ascii="黑体" w:hAnsi="黑体" w:eastAsia="黑体" w:cs="黑体"/>
                <w:b w:val="0"/>
                <w:bCs w:val="0"/>
                <w:color w:val="FF0000"/>
                <w:spacing w:val="0"/>
                <w:sz w:val="21"/>
                <w:szCs w:val="21"/>
                <w:lang w:eastAsia="zh-CN"/>
              </w:rPr>
              <w:t>。</w:t>
            </w:r>
          </w:p>
          <w:p w14:paraId="5364A1C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val="0"/>
                <w:color w:val="FF0000"/>
                <w:spacing w:val="0"/>
                <w:sz w:val="18"/>
                <w:szCs w:val="18"/>
                <w:lang w:val="en-US" w:eastAsia="zh-CN"/>
              </w:rPr>
            </w:pPr>
            <w:r>
              <w:rPr>
                <w:rFonts w:hint="eastAsia" w:ascii="黑体" w:hAnsi="黑体" w:eastAsia="黑体" w:cs="黑体"/>
                <w:b w:val="0"/>
                <w:bCs w:val="0"/>
                <w:color w:val="FF0000"/>
                <w:spacing w:val="0"/>
                <w:sz w:val="18"/>
                <w:szCs w:val="18"/>
                <w:lang w:val="en-US" w:eastAsia="zh-CN"/>
              </w:rPr>
              <w:t>表2 采煤工作面瓦斯抽采率应达到的指标</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519"/>
              <w:gridCol w:w="1733"/>
            </w:tblGrid>
            <w:tr w14:paraId="40E77BD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tblHeader/>
                <w:jc w:val="center"/>
              </w:trPr>
              <w:tc>
                <w:tcPr>
                  <w:tcW w:w="5030" w:type="dxa"/>
                  <w:tcBorders>
                    <w:top w:val="single" w:color="231F20" w:sz="4" w:space="0"/>
                    <w:left w:val="nil"/>
                  </w:tcBorders>
                  <w:vAlign w:val="center"/>
                </w:tcPr>
                <w:p w14:paraId="33D5E05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lang w:eastAsia="zh-CN"/>
                    </w:rPr>
                  </w:pPr>
                  <w:r>
                    <w:rPr>
                      <w:rFonts w:hint="eastAsia" w:ascii="仿宋_GB2312" w:hAnsi="仿宋_GB2312" w:eastAsia="仿宋_GB2312" w:cs="仿宋_GB2312"/>
                      <w:b w:val="0"/>
                      <w:bCs w:val="0"/>
                      <w:color w:val="FF0000"/>
                      <w:spacing w:val="0"/>
                      <w:sz w:val="18"/>
                      <w:szCs w:val="18"/>
                    </w:rPr>
                    <w:t>工作面绝对瓦斯涌出量Q</w:t>
                  </w:r>
                  <w:r>
                    <w:rPr>
                      <w:rFonts w:hint="eastAsia" w:ascii="仿宋_GB2312" w:hAnsi="仿宋_GB2312" w:eastAsia="仿宋_GB2312" w:cs="仿宋_GB2312"/>
                      <w:b w:val="0"/>
                      <w:bCs w:val="0"/>
                      <w:color w:val="FF0000"/>
                      <w:spacing w:val="0"/>
                      <w:sz w:val="18"/>
                      <w:szCs w:val="18"/>
                      <w:lang w:eastAsia="zh-CN"/>
                    </w:rPr>
                    <w:t>（</w:t>
                  </w:r>
                  <w:r>
                    <w:rPr>
                      <w:rFonts w:hint="eastAsia" w:ascii="仿宋_GB2312" w:hAnsi="仿宋_GB2312" w:eastAsia="仿宋_GB2312" w:cs="仿宋_GB2312"/>
                      <w:b w:val="0"/>
                      <w:bCs w:val="0"/>
                      <w:color w:val="FF0000"/>
                      <w:spacing w:val="0"/>
                      <w:sz w:val="18"/>
                      <w:szCs w:val="18"/>
                    </w:rPr>
                    <w:t>m</w:t>
                  </w:r>
                  <w:r>
                    <w:rPr>
                      <w:rFonts w:hint="eastAsia" w:ascii="仿宋_GB2312" w:hAnsi="仿宋_GB2312" w:eastAsia="仿宋_GB2312" w:cs="仿宋_GB2312"/>
                      <w:b w:val="0"/>
                      <w:bCs w:val="0"/>
                      <w:color w:val="FF0000"/>
                      <w:spacing w:val="0"/>
                      <w:sz w:val="18"/>
                      <w:szCs w:val="18"/>
                      <w:vertAlign w:val="superscript"/>
                    </w:rPr>
                    <w:t>3</w:t>
                  </w:r>
                  <w:r>
                    <w:rPr>
                      <w:rFonts w:hint="eastAsia" w:ascii="仿宋_GB2312" w:hAnsi="仿宋_GB2312" w:eastAsia="仿宋_GB2312" w:cs="仿宋_GB2312"/>
                      <w:b w:val="0"/>
                      <w:bCs w:val="0"/>
                      <w:color w:val="FF0000"/>
                      <w:spacing w:val="0"/>
                      <w:sz w:val="18"/>
                      <w:szCs w:val="18"/>
                    </w:rPr>
                    <w:t>/min</w:t>
                  </w:r>
                  <w:r>
                    <w:rPr>
                      <w:rFonts w:hint="eastAsia" w:ascii="仿宋_GB2312" w:hAnsi="仿宋_GB2312" w:eastAsia="仿宋_GB2312" w:cs="仿宋_GB2312"/>
                      <w:b w:val="0"/>
                      <w:bCs w:val="0"/>
                      <w:color w:val="FF0000"/>
                      <w:spacing w:val="0"/>
                      <w:sz w:val="18"/>
                      <w:szCs w:val="18"/>
                      <w:lang w:eastAsia="zh-CN"/>
                    </w:rPr>
                    <w:t>）</w:t>
                  </w:r>
                </w:p>
              </w:tc>
              <w:tc>
                <w:tcPr>
                  <w:tcW w:w="3459" w:type="dxa"/>
                  <w:tcBorders>
                    <w:top w:val="single" w:color="231F20" w:sz="4" w:space="0"/>
                    <w:right w:val="nil"/>
                  </w:tcBorders>
                  <w:vAlign w:val="center"/>
                </w:tcPr>
                <w:p w14:paraId="5F438CB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lang w:eastAsia="zh-CN"/>
                    </w:rPr>
                  </w:pPr>
                  <w:r>
                    <w:rPr>
                      <w:rFonts w:hint="eastAsia" w:ascii="仿宋_GB2312" w:hAnsi="仿宋_GB2312" w:eastAsia="仿宋_GB2312" w:cs="仿宋_GB2312"/>
                      <w:b w:val="0"/>
                      <w:bCs w:val="0"/>
                      <w:color w:val="FF0000"/>
                      <w:spacing w:val="0"/>
                      <w:sz w:val="18"/>
                      <w:szCs w:val="18"/>
                    </w:rPr>
                    <w:t>工作面瓦斯抽采率</w:t>
                  </w:r>
                  <w:r>
                    <w:rPr>
                      <w:rFonts w:hint="eastAsia" w:ascii="仿宋_GB2312" w:hAnsi="仿宋_GB2312" w:eastAsia="仿宋_GB2312" w:cs="仿宋_GB2312"/>
                      <w:b w:val="0"/>
                      <w:bCs w:val="0"/>
                      <w:color w:val="FF0000"/>
                      <w:spacing w:val="0"/>
                      <w:sz w:val="18"/>
                      <w:szCs w:val="18"/>
                      <w:lang w:eastAsia="zh-CN"/>
                    </w:rPr>
                    <w:t>（</w:t>
                  </w:r>
                  <w:r>
                    <w:rPr>
                      <w:rFonts w:hint="eastAsia" w:ascii="仿宋_GB2312" w:hAnsi="仿宋_GB2312" w:eastAsia="仿宋_GB2312" w:cs="仿宋_GB2312"/>
                      <w:b w:val="0"/>
                      <w:bCs w:val="0"/>
                      <w:color w:val="FF0000"/>
                      <w:spacing w:val="0"/>
                      <w:sz w:val="18"/>
                      <w:szCs w:val="18"/>
                    </w:rPr>
                    <w:t>％</w:t>
                  </w:r>
                  <w:r>
                    <w:rPr>
                      <w:rFonts w:hint="eastAsia" w:ascii="仿宋_GB2312" w:hAnsi="仿宋_GB2312" w:eastAsia="仿宋_GB2312" w:cs="仿宋_GB2312"/>
                      <w:b w:val="0"/>
                      <w:bCs w:val="0"/>
                      <w:color w:val="FF0000"/>
                      <w:spacing w:val="0"/>
                      <w:sz w:val="18"/>
                      <w:szCs w:val="18"/>
                      <w:lang w:eastAsia="zh-CN"/>
                    </w:rPr>
                    <w:t>）</w:t>
                  </w:r>
                </w:p>
              </w:tc>
            </w:tr>
            <w:tr w14:paraId="45306A8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5030" w:type="dxa"/>
                  <w:tcBorders>
                    <w:left w:val="nil"/>
                  </w:tcBorders>
                  <w:vAlign w:val="center"/>
                </w:tcPr>
                <w:p w14:paraId="2F16EE4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5≤Q&lt;10</w:t>
                  </w:r>
                </w:p>
              </w:tc>
              <w:tc>
                <w:tcPr>
                  <w:tcW w:w="3459" w:type="dxa"/>
                  <w:tcBorders>
                    <w:right w:val="nil"/>
                  </w:tcBorders>
                  <w:vAlign w:val="center"/>
                </w:tcPr>
                <w:p w14:paraId="25BC9D7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≥20</w:t>
                  </w:r>
                </w:p>
              </w:tc>
            </w:tr>
            <w:tr w14:paraId="2E0BFEB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5030" w:type="dxa"/>
                  <w:tcBorders>
                    <w:left w:val="nil"/>
                  </w:tcBorders>
                  <w:vAlign w:val="center"/>
                </w:tcPr>
                <w:p w14:paraId="0274CE2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10≤Q&lt;20</w:t>
                  </w:r>
                </w:p>
              </w:tc>
              <w:tc>
                <w:tcPr>
                  <w:tcW w:w="3459" w:type="dxa"/>
                  <w:tcBorders>
                    <w:right w:val="nil"/>
                  </w:tcBorders>
                  <w:vAlign w:val="center"/>
                </w:tcPr>
                <w:p w14:paraId="62641C5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≥30</w:t>
                  </w:r>
                </w:p>
              </w:tc>
            </w:tr>
            <w:tr w14:paraId="7CBCB0C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5030" w:type="dxa"/>
                  <w:tcBorders>
                    <w:left w:val="nil"/>
                  </w:tcBorders>
                  <w:vAlign w:val="center"/>
                </w:tcPr>
                <w:p w14:paraId="2703A19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20≤Q&lt;40</w:t>
                  </w:r>
                </w:p>
              </w:tc>
              <w:tc>
                <w:tcPr>
                  <w:tcW w:w="3459" w:type="dxa"/>
                  <w:tcBorders>
                    <w:right w:val="nil"/>
                  </w:tcBorders>
                  <w:vAlign w:val="center"/>
                </w:tcPr>
                <w:p w14:paraId="4F2ADC5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≥40</w:t>
                  </w:r>
                </w:p>
              </w:tc>
            </w:tr>
            <w:tr w14:paraId="77AABF2B">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5030" w:type="dxa"/>
                  <w:tcBorders>
                    <w:left w:val="nil"/>
                  </w:tcBorders>
                  <w:vAlign w:val="center"/>
                </w:tcPr>
                <w:p w14:paraId="25A20269">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40≤Q&lt;70</w:t>
                  </w:r>
                </w:p>
              </w:tc>
              <w:tc>
                <w:tcPr>
                  <w:tcW w:w="3459" w:type="dxa"/>
                  <w:tcBorders>
                    <w:right w:val="nil"/>
                  </w:tcBorders>
                  <w:vAlign w:val="center"/>
                </w:tcPr>
                <w:p w14:paraId="1A76C0C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≥50</w:t>
                  </w:r>
                </w:p>
              </w:tc>
            </w:tr>
            <w:tr w14:paraId="0A85F4D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5030" w:type="dxa"/>
                  <w:tcBorders>
                    <w:left w:val="nil"/>
                  </w:tcBorders>
                  <w:vAlign w:val="center"/>
                </w:tcPr>
                <w:p w14:paraId="64D1DC2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70≤Q&lt;100</w:t>
                  </w:r>
                </w:p>
              </w:tc>
              <w:tc>
                <w:tcPr>
                  <w:tcW w:w="3459" w:type="dxa"/>
                  <w:tcBorders>
                    <w:right w:val="nil"/>
                  </w:tcBorders>
                  <w:vAlign w:val="center"/>
                </w:tcPr>
                <w:p w14:paraId="4410B7E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≥60</w:t>
                  </w:r>
                </w:p>
              </w:tc>
            </w:tr>
            <w:tr w14:paraId="7587E29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5030" w:type="dxa"/>
                  <w:tcBorders>
                    <w:left w:val="nil"/>
                    <w:bottom w:val="single" w:color="231F20" w:sz="4" w:space="0"/>
                  </w:tcBorders>
                  <w:vAlign w:val="center"/>
                </w:tcPr>
                <w:p w14:paraId="7D6C981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Q≥100</w:t>
                  </w:r>
                </w:p>
              </w:tc>
              <w:tc>
                <w:tcPr>
                  <w:tcW w:w="3459" w:type="dxa"/>
                  <w:tcBorders>
                    <w:bottom w:val="single" w:color="231F20" w:sz="4" w:space="0"/>
                    <w:right w:val="nil"/>
                  </w:tcBorders>
                  <w:vAlign w:val="center"/>
                </w:tcPr>
                <w:p w14:paraId="47A8F22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≥70</w:t>
                  </w:r>
                </w:p>
              </w:tc>
            </w:tr>
          </w:tbl>
          <w:p w14:paraId="24208CA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val="0"/>
                <w:color w:val="FF0000"/>
                <w:spacing w:val="0"/>
                <w:sz w:val="21"/>
                <w:szCs w:val="21"/>
                <w:lang w:eastAsia="zh-CN"/>
              </w:rPr>
            </w:pPr>
            <w:r>
              <w:rPr>
                <w:rFonts w:hint="eastAsia" w:ascii="黑体" w:hAnsi="黑体" w:eastAsia="黑体" w:cs="黑体"/>
                <w:b w:val="0"/>
                <w:bCs w:val="0"/>
                <w:color w:val="FF0000"/>
                <w:spacing w:val="0"/>
                <w:sz w:val="21"/>
                <w:szCs w:val="21"/>
              </w:rPr>
              <w:t>3</w:t>
            </w:r>
            <w:r>
              <w:rPr>
                <w:rFonts w:hint="eastAsia" w:ascii="黑体" w:hAnsi="黑体" w:eastAsia="黑体" w:cs="黑体"/>
                <w:b w:val="0"/>
                <w:bCs w:val="0"/>
                <w:color w:val="FF0000"/>
                <w:spacing w:val="0"/>
                <w:sz w:val="21"/>
                <w:szCs w:val="21"/>
                <w:lang w:val="en-US" w:eastAsia="zh-CN"/>
              </w:rPr>
              <w:t>.</w:t>
            </w:r>
            <w:r>
              <w:rPr>
                <w:rFonts w:hint="eastAsia" w:ascii="黑体" w:hAnsi="黑体" w:eastAsia="黑体" w:cs="黑体"/>
                <w:b w:val="0"/>
                <w:bCs w:val="0"/>
                <w:color w:val="FF0000"/>
                <w:spacing w:val="0"/>
                <w:sz w:val="21"/>
                <w:szCs w:val="21"/>
              </w:rPr>
              <w:t>矿井瓦斯抽采率不符合表3规定</w:t>
            </w:r>
            <w:r>
              <w:rPr>
                <w:rFonts w:hint="eastAsia" w:ascii="黑体" w:hAnsi="黑体" w:eastAsia="黑体" w:cs="黑体"/>
                <w:b w:val="0"/>
                <w:bCs w:val="0"/>
                <w:color w:val="FF0000"/>
                <w:spacing w:val="0"/>
                <w:sz w:val="21"/>
                <w:szCs w:val="21"/>
                <w:lang w:eastAsia="zh-CN"/>
              </w:rPr>
              <w:t>。</w:t>
            </w:r>
          </w:p>
          <w:p w14:paraId="1F3AFDF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val="0"/>
                <w:color w:val="FF0000"/>
                <w:spacing w:val="0"/>
                <w:sz w:val="18"/>
                <w:szCs w:val="18"/>
                <w:lang w:val="en-US" w:eastAsia="zh-CN"/>
              </w:rPr>
            </w:pPr>
            <w:r>
              <w:rPr>
                <w:rFonts w:hint="eastAsia" w:ascii="黑体" w:hAnsi="黑体" w:eastAsia="黑体" w:cs="黑体"/>
                <w:b w:val="0"/>
                <w:bCs w:val="0"/>
                <w:color w:val="FF0000"/>
                <w:spacing w:val="0"/>
                <w:sz w:val="18"/>
                <w:szCs w:val="18"/>
                <w:lang w:val="en-US" w:eastAsia="zh-CN"/>
              </w:rPr>
              <w:t>表3 矿井瓦斯抽采率应达到的指标</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2519"/>
              <w:gridCol w:w="1733"/>
            </w:tblGrid>
            <w:tr w14:paraId="0BFDC30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tblHeader/>
                <w:jc w:val="center"/>
              </w:trPr>
              <w:tc>
                <w:tcPr>
                  <w:tcW w:w="2519" w:type="dxa"/>
                  <w:tcBorders>
                    <w:top w:val="single" w:color="231F20" w:sz="4" w:space="0"/>
                    <w:left w:val="nil"/>
                  </w:tcBorders>
                  <w:vAlign w:val="center"/>
                </w:tcPr>
                <w:p w14:paraId="2495F12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lang w:eastAsia="zh-CN"/>
                    </w:rPr>
                  </w:pPr>
                  <w:r>
                    <w:rPr>
                      <w:rFonts w:hint="eastAsia" w:ascii="仿宋_GB2312" w:hAnsi="仿宋_GB2312" w:eastAsia="仿宋_GB2312" w:cs="仿宋_GB2312"/>
                      <w:b w:val="0"/>
                      <w:bCs w:val="0"/>
                      <w:color w:val="FF0000"/>
                      <w:spacing w:val="0"/>
                      <w:sz w:val="18"/>
                      <w:szCs w:val="18"/>
                    </w:rPr>
                    <w:t>矿井绝对瓦斯涌出量Q</w:t>
                  </w:r>
                  <w:r>
                    <w:rPr>
                      <w:rFonts w:hint="eastAsia" w:ascii="仿宋_GB2312" w:hAnsi="仿宋_GB2312" w:eastAsia="仿宋_GB2312" w:cs="仿宋_GB2312"/>
                      <w:b w:val="0"/>
                      <w:bCs w:val="0"/>
                      <w:color w:val="FF0000"/>
                      <w:spacing w:val="0"/>
                      <w:sz w:val="18"/>
                      <w:szCs w:val="18"/>
                      <w:lang w:eastAsia="zh-CN"/>
                    </w:rPr>
                    <w:t>（</w:t>
                  </w:r>
                  <w:r>
                    <w:rPr>
                      <w:rFonts w:hint="eastAsia" w:ascii="仿宋_GB2312" w:hAnsi="仿宋_GB2312" w:eastAsia="仿宋_GB2312" w:cs="仿宋_GB2312"/>
                      <w:b w:val="0"/>
                      <w:bCs w:val="0"/>
                      <w:color w:val="FF0000"/>
                      <w:spacing w:val="0"/>
                      <w:sz w:val="18"/>
                      <w:szCs w:val="18"/>
                    </w:rPr>
                    <w:t>m</w:t>
                  </w:r>
                  <w:r>
                    <w:rPr>
                      <w:rFonts w:hint="eastAsia" w:ascii="仿宋_GB2312" w:hAnsi="仿宋_GB2312" w:eastAsia="仿宋_GB2312" w:cs="仿宋_GB2312"/>
                      <w:b w:val="0"/>
                      <w:bCs w:val="0"/>
                      <w:color w:val="FF0000"/>
                      <w:spacing w:val="0"/>
                      <w:sz w:val="18"/>
                      <w:szCs w:val="18"/>
                      <w:vertAlign w:val="superscript"/>
                    </w:rPr>
                    <w:t>3</w:t>
                  </w:r>
                  <w:r>
                    <w:rPr>
                      <w:rFonts w:hint="eastAsia" w:ascii="仿宋_GB2312" w:hAnsi="仿宋_GB2312" w:eastAsia="仿宋_GB2312" w:cs="仿宋_GB2312"/>
                      <w:b w:val="0"/>
                      <w:bCs w:val="0"/>
                      <w:color w:val="FF0000"/>
                      <w:spacing w:val="0"/>
                      <w:sz w:val="18"/>
                      <w:szCs w:val="18"/>
                    </w:rPr>
                    <w:t>/min</w:t>
                  </w:r>
                  <w:r>
                    <w:rPr>
                      <w:rFonts w:hint="eastAsia" w:ascii="仿宋_GB2312" w:hAnsi="仿宋_GB2312" w:eastAsia="仿宋_GB2312" w:cs="仿宋_GB2312"/>
                      <w:b w:val="0"/>
                      <w:bCs w:val="0"/>
                      <w:color w:val="FF0000"/>
                      <w:spacing w:val="0"/>
                      <w:sz w:val="18"/>
                      <w:szCs w:val="18"/>
                      <w:lang w:eastAsia="zh-CN"/>
                    </w:rPr>
                    <w:t>）</w:t>
                  </w:r>
                </w:p>
              </w:tc>
              <w:tc>
                <w:tcPr>
                  <w:tcW w:w="1733" w:type="dxa"/>
                  <w:tcBorders>
                    <w:top w:val="single" w:color="231F20" w:sz="4" w:space="0"/>
                    <w:right w:val="nil"/>
                  </w:tcBorders>
                  <w:vAlign w:val="center"/>
                </w:tcPr>
                <w:p w14:paraId="7AAA82A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lang w:eastAsia="zh-CN"/>
                    </w:rPr>
                  </w:pPr>
                  <w:r>
                    <w:rPr>
                      <w:rFonts w:hint="eastAsia" w:ascii="仿宋_GB2312" w:hAnsi="仿宋_GB2312" w:eastAsia="仿宋_GB2312" w:cs="仿宋_GB2312"/>
                      <w:b w:val="0"/>
                      <w:bCs w:val="0"/>
                      <w:color w:val="FF0000"/>
                      <w:spacing w:val="0"/>
                      <w:sz w:val="18"/>
                      <w:szCs w:val="18"/>
                    </w:rPr>
                    <w:t>矿井瓦斯抽采率</w:t>
                  </w:r>
                  <w:r>
                    <w:rPr>
                      <w:rFonts w:hint="eastAsia" w:ascii="仿宋_GB2312" w:hAnsi="仿宋_GB2312" w:eastAsia="仿宋_GB2312" w:cs="仿宋_GB2312"/>
                      <w:b w:val="0"/>
                      <w:bCs w:val="0"/>
                      <w:color w:val="FF0000"/>
                      <w:spacing w:val="0"/>
                      <w:sz w:val="18"/>
                      <w:szCs w:val="18"/>
                      <w:lang w:eastAsia="zh-CN"/>
                    </w:rPr>
                    <w:t>（</w:t>
                  </w:r>
                  <w:r>
                    <w:rPr>
                      <w:rFonts w:hint="eastAsia" w:ascii="仿宋_GB2312" w:hAnsi="仿宋_GB2312" w:eastAsia="仿宋_GB2312" w:cs="仿宋_GB2312"/>
                      <w:b w:val="0"/>
                      <w:bCs w:val="0"/>
                      <w:color w:val="FF0000"/>
                      <w:spacing w:val="0"/>
                      <w:sz w:val="18"/>
                      <w:szCs w:val="18"/>
                    </w:rPr>
                    <w:t>％</w:t>
                  </w:r>
                  <w:r>
                    <w:rPr>
                      <w:rFonts w:hint="eastAsia" w:ascii="仿宋_GB2312" w:hAnsi="仿宋_GB2312" w:eastAsia="仿宋_GB2312" w:cs="仿宋_GB2312"/>
                      <w:b w:val="0"/>
                      <w:bCs w:val="0"/>
                      <w:color w:val="FF0000"/>
                      <w:spacing w:val="0"/>
                      <w:sz w:val="18"/>
                      <w:szCs w:val="18"/>
                      <w:lang w:eastAsia="zh-CN"/>
                    </w:rPr>
                    <w:t>）</w:t>
                  </w:r>
                </w:p>
              </w:tc>
            </w:tr>
            <w:tr w14:paraId="6C58870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tcBorders>
                  <w:vAlign w:val="center"/>
                </w:tcPr>
                <w:p w14:paraId="43EBF7F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Q&lt;20</w:t>
                  </w:r>
                </w:p>
              </w:tc>
              <w:tc>
                <w:tcPr>
                  <w:tcW w:w="1733" w:type="dxa"/>
                  <w:tcBorders>
                    <w:right w:val="nil"/>
                  </w:tcBorders>
                  <w:vAlign w:val="center"/>
                </w:tcPr>
                <w:p w14:paraId="1BCFFD0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≥25</w:t>
                  </w:r>
                </w:p>
              </w:tc>
            </w:tr>
            <w:tr w14:paraId="27F7CE3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tcBorders>
                  <w:vAlign w:val="center"/>
                </w:tcPr>
                <w:p w14:paraId="6FDA741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20≤Q&lt;40</w:t>
                  </w:r>
                </w:p>
              </w:tc>
              <w:tc>
                <w:tcPr>
                  <w:tcW w:w="1733" w:type="dxa"/>
                  <w:tcBorders>
                    <w:right w:val="nil"/>
                  </w:tcBorders>
                  <w:vAlign w:val="center"/>
                </w:tcPr>
                <w:p w14:paraId="6CBF301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≥35</w:t>
                  </w:r>
                </w:p>
              </w:tc>
            </w:tr>
            <w:tr w14:paraId="65E198BE">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tcBorders>
                  <w:vAlign w:val="center"/>
                </w:tcPr>
                <w:p w14:paraId="51E6C5D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40≤Q&lt;80</w:t>
                  </w:r>
                </w:p>
              </w:tc>
              <w:tc>
                <w:tcPr>
                  <w:tcW w:w="1733" w:type="dxa"/>
                  <w:tcBorders>
                    <w:right w:val="nil"/>
                  </w:tcBorders>
                  <w:vAlign w:val="center"/>
                </w:tcPr>
                <w:p w14:paraId="7D2B00E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≥40</w:t>
                  </w:r>
                </w:p>
              </w:tc>
            </w:tr>
            <w:tr w14:paraId="21CF8AE7">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tcBorders>
                  <w:vAlign w:val="center"/>
                </w:tcPr>
                <w:p w14:paraId="124B20C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80≤Q&lt;160</w:t>
                  </w:r>
                </w:p>
              </w:tc>
              <w:tc>
                <w:tcPr>
                  <w:tcW w:w="1733" w:type="dxa"/>
                  <w:tcBorders>
                    <w:right w:val="nil"/>
                  </w:tcBorders>
                  <w:vAlign w:val="center"/>
                </w:tcPr>
                <w:p w14:paraId="1DCD963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≥45</w:t>
                  </w:r>
                </w:p>
              </w:tc>
            </w:tr>
            <w:tr w14:paraId="2DCB1A3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tcBorders>
                  <w:vAlign w:val="center"/>
                </w:tcPr>
                <w:p w14:paraId="6D262E4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160≤Q&lt;300</w:t>
                  </w:r>
                </w:p>
              </w:tc>
              <w:tc>
                <w:tcPr>
                  <w:tcW w:w="1733" w:type="dxa"/>
                  <w:tcBorders>
                    <w:right w:val="nil"/>
                  </w:tcBorders>
                  <w:vAlign w:val="center"/>
                </w:tcPr>
                <w:p w14:paraId="290F28A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≥50</w:t>
                  </w:r>
                </w:p>
              </w:tc>
            </w:tr>
            <w:tr w14:paraId="4E2118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tcBorders>
                  <w:vAlign w:val="center"/>
                </w:tcPr>
                <w:p w14:paraId="1EBF219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300≤Q&lt;500</w:t>
                  </w:r>
                </w:p>
              </w:tc>
              <w:tc>
                <w:tcPr>
                  <w:tcW w:w="1733" w:type="dxa"/>
                  <w:tcBorders>
                    <w:right w:val="nil"/>
                  </w:tcBorders>
                  <w:vAlign w:val="center"/>
                </w:tcPr>
                <w:p w14:paraId="1F1D57E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≥55</w:t>
                  </w:r>
                </w:p>
              </w:tc>
            </w:tr>
            <w:tr w14:paraId="50EA255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83" w:hRule="atLeast"/>
                <w:jc w:val="center"/>
              </w:trPr>
              <w:tc>
                <w:tcPr>
                  <w:tcW w:w="2519" w:type="dxa"/>
                  <w:tcBorders>
                    <w:left w:val="nil"/>
                    <w:bottom w:val="single" w:color="231F20" w:sz="4" w:space="0"/>
                  </w:tcBorders>
                  <w:vAlign w:val="center"/>
                </w:tcPr>
                <w:p w14:paraId="657ADD6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Q≥500</w:t>
                  </w:r>
                </w:p>
              </w:tc>
              <w:tc>
                <w:tcPr>
                  <w:tcW w:w="1733" w:type="dxa"/>
                  <w:tcBorders>
                    <w:bottom w:val="single" w:color="231F20" w:sz="4" w:space="0"/>
                    <w:right w:val="nil"/>
                  </w:tcBorders>
                  <w:vAlign w:val="center"/>
                </w:tcPr>
                <w:p w14:paraId="19A2016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b w:val="0"/>
                      <w:bCs w:val="0"/>
                      <w:color w:val="FF0000"/>
                      <w:spacing w:val="0"/>
                      <w:sz w:val="18"/>
                      <w:szCs w:val="18"/>
                    </w:rPr>
                  </w:pPr>
                  <w:r>
                    <w:rPr>
                      <w:rFonts w:hint="eastAsia" w:ascii="仿宋_GB2312" w:hAnsi="仿宋_GB2312" w:eastAsia="仿宋_GB2312" w:cs="仿宋_GB2312"/>
                      <w:b w:val="0"/>
                      <w:bCs w:val="0"/>
                      <w:color w:val="FF0000"/>
                      <w:spacing w:val="0"/>
                      <w:sz w:val="18"/>
                      <w:szCs w:val="18"/>
                    </w:rPr>
                    <w:t>≥60</w:t>
                  </w:r>
                </w:p>
              </w:tc>
            </w:tr>
          </w:tbl>
          <w:p w14:paraId="1C727C0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val="0"/>
                <w:spacing w:val="0"/>
                <w:sz w:val="21"/>
                <w:szCs w:val="21"/>
              </w:rPr>
            </w:pPr>
          </w:p>
        </w:tc>
      </w:tr>
      <w:tr w14:paraId="52D9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12AEBC1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黑体" w:hAnsi="黑体" w:eastAsia="黑体" w:cs="黑体"/>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六</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煤</w:t>
            </w:r>
            <w:r>
              <w:rPr>
                <w:rFonts w:hint="eastAsia" w:ascii="黑体" w:hAnsi="黑体" w:eastAsia="黑体" w:cs="黑体"/>
                <w:b w:val="0"/>
                <w:bCs w:val="0"/>
                <w:color w:val="FF0000"/>
                <w:spacing w:val="0"/>
                <w:sz w:val="21"/>
                <w:szCs w:val="21"/>
                <w:lang w:val="en-US" w:eastAsia="zh-CN"/>
              </w:rPr>
              <w:t>（岩）</w:t>
            </w:r>
            <w:r>
              <w:rPr>
                <w:rFonts w:hint="eastAsia" w:ascii="黑体" w:hAnsi="黑体" w:eastAsia="黑体" w:cs="黑体"/>
                <w:b w:val="0"/>
                <w:bCs/>
                <w:spacing w:val="0"/>
                <w:sz w:val="21"/>
                <w:szCs w:val="21"/>
                <w:lang w:val="en-US" w:eastAsia="zh-CN"/>
              </w:rPr>
              <w:t>与瓦斯</w:t>
            </w:r>
            <w:r>
              <w:rPr>
                <w:rFonts w:hint="eastAsia" w:ascii="黑体" w:hAnsi="黑体" w:eastAsia="黑体" w:cs="黑体"/>
                <w:b w:val="0"/>
                <w:bCs w:val="0"/>
                <w:color w:val="FF0000"/>
                <w:spacing w:val="0"/>
                <w:sz w:val="21"/>
                <w:szCs w:val="21"/>
                <w:lang w:val="en-US" w:eastAsia="zh-CN"/>
              </w:rPr>
              <w:t>（二氧化碳）</w:t>
            </w:r>
            <w:r>
              <w:rPr>
                <w:rFonts w:hint="eastAsia" w:ascii="黑体" w:hAnsi="黑体" w:eastAsia="黑体" w:cs="黑体"/>
                <w:b w:val="0"/>
                <w:bCs/>
                <w:spacing w:val="0"/>
                <w:sz w:val="21"/>
                <w:szCs w:val="21"/>
                <w:lang w:val="en-US" w:eastAsia="zh-CN"/>
              </w:rPr>
              <w:t>突出矿井未按照规定实施防突措施”重大事故隐患,是指有下列情形之一的:</w:t>
            </w:r>
          </w:p>
        </w:tc>
      </w:tr>
      <w:tr w14:paraId="663E0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450907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（一）未设立防突机构并配备相应专业人员的；</w:t>
            </w:r>
          </w:p>
        </w:tc>
        <w:tc>
          <w:tcPr>
            <w:tcW w:w="4501" w:type="dxa"/>
            <w:tcMar>
              <w:top w:w="57" w:type="dxa"/>
              <w:left w:w="57" w:type="dxa"/>
              <w:bottom w:w="57" w:type="dxa"/>
              <w:right w:w="57" w:type="dxa"/>
            </w:tcMar>
            <w:vAlign w:val="center"/>
          </w:tcPr>
          <w:p w14:paraId="10DA525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2012C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3814DF0E">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jc w:val="both"/>
              <w:textAlignment w:val="auto"/>
              <w:rPr>
                <w:rFonts w:hint="eastAsia" w:ascii="仿宋_GB2312" w:hAnsi="仿宋_GB2312" w:eastAsia="仿宋_GB2312" w:cs="仿宋_GB2312"/>
                <w:spacing w:val="0"/>
                <w:sz w:val="21"/>
                <w:szCs w:val="21"/>
                <w:lang w:eastAsia="zh-CN"/>
              </w:rPr>
            </w:pP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（二）未建立地面永久瓦斯抽采系统或者系统不能正常运行的；</w:t>
            </w:r>
          </w:p>
        </w:tc>
        <w:tc>
          <w:tcPr>
            <w:tcW w:w="4501" w:type="dxa"/>
            <w:tcMar>
              <w:top w:w="57" w:type="dxa"/>
              <w:left w:w="57" w:type="dxa"/>
              <w:bottom w:w="57" w:type="dxa"/>
              <w:right w:w="57" w:type="dxa"/>
            </w:tcMar>
            <w:vAlign w:val="center"/>
          </w:tcPr>
          <w:p w14:paraId="16304EAC">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firstLine="0" w:firstLine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调整至第七条</w:t>
            </w:r>
          </w:p>
        </w:tc>
      </w:tr>
      <w:tr w14:paraId="4D60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F2FA07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（三）未按照</w:t>
            </w:r>
            <w:r>
              <w:rPr>
                <w:rFonts w:hint="eastAsia" w:ascii="黑体" w:hAnsi="黑体" w:eastAsia="黑体" w:cs="黑体"/>
                <w:strike/>
                <w:dstrike w:val="0"/>
                <w:color w:val="0000FF"/>
                <w:spacing w:val="0"/>
                <w:sz w:val="21"/>
                <w:szCs w:val="21"/>
              </w:rPr>
              <w:t>国家</w:t>
            </w:r>
            <w:r>
              <w:rPr>
                <w:rFonts w:hint="eastAsia" w:ascii="仿宋_GB2312" w:hAnsi="仿宋_GB2312" w:eastAsia="仿宋_GB2312" w:cs="仿宋_GB2312"/>
                <w:spacing w:val="0"/>
                <w:sz w:val="21"/>
                <w:szCs w:val="21"/>
              </w:rPr>
              <w:t>规定</w:t>
            </w:r>
            <w:r>
              <w:rPr>
                <w:rFonts w:hint="eastAsia" w:ascii="黑体" w:hAnsi="黑体" w:eastAsia="黑体" w:cs="黑体"/>
                <w:b/>
                <w:bCs/>
                <w:color w:val="009C46"/>
                <w:spacing w:val="0"/>
                <w:sz w:val="21"/>
                <w:szCs w:val="21"/>
              </w:rPr>
              <w:t>进行</w:t>
            </w:r>
            <w:r>
              <w:rPr>
                <w:rFonts w:hint="eastAsia" w:ascii="仿宋_GB2312" w:hAnsi="仿宋_GB2312" w:eastAsia="仿宋_GB2312" w:cs="仿宋_GB2312"/>
                <w:spacing w:val="0"/>
                <w:sz w:val="21"/>
                <w:szCs w:val="21"/>
              </w:rPr>
              <w:t>区域或者工作面突出危险性预测的（直接认定为突出危险区域或者</w:t>
            </w:r>
            <w:r>
              <w:rPr>
                <w:rFonts w:hint="eastAsia" w:ascii="黑体" w:hAnsi="黑体" w:eastAsia="黑体" w:cs="黑体"/>
                <w:b/>
                <w:bCs/>
                <w:color w:val="009C46"/>
                <w:spacing w:val="0"/>
                <w:sz w:val="21"/>
                <w:szCs w:val="21"/>
              </w:rPr>
              <w:t>突出危险工作面</w:t>
            </w:r>
            <w:r>
              <w:rPr>
                <w:rFonts w:hint="eastAsia" w:ascii="仿宋_GB2312" w:hAnsi="仿宋_GB2312" w:eastAsia="仿宋_GB2312" w:cs="仿宋_GB2312"/>
                <w:spacing w:val="0"/>
                <w:sz w:val="21"/>
                <w:szCs w:val="21"/>
              </w:rPr>
              <w:t>的除外）；</w:t>
            </w:r>
          </w:p>
          <w:p w14:paraId="0BC87A80">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*增加区域预测范围(不超1个采区、不小于1个区段)</w:t>
            </w:r>
          </w:p>
          <w:p w14:paraId="2C381F71">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bCs/>
                <w:color w:val="E46C0A" w:themeColor="accent6" w:themeShade="BF"/>
                <w:spacing w:val="0"/>
                <w:sz w:val="18"/>
                <w:szCs w:val="18"/>
                <w:lang w:val="en-US" w:eastAsia="zh-CN"/>
              </w:rPr>
              <w:t>*煤矿总工程师组织、机构委托、无突出区技术负责人批准等具体要求</w:t>
            </w:r>
          </w:p>
        </w:tc>
        <w:tc>
          <w:tcPr>
            <w:tcW w:w="4501" w:type="dxa"/>
            <w:tcMar>
              <w:top w:w="57" w:type="dxa"/>
              <w:left w:w="57" w:type="dxa"/>
              <w:bottom w:w="57" w:type="dxa"/>
              <w:right w:w="57" w:type="dxa"/>
            </w:tcMar>
            <w:vAlign w:val="top"/>
          </w:tcPr>
          <w:p w14:paraId="3160D72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w:t>
            </w:r>
            <w:r>
              <w:rPr>
                <w:rFonts w:hint="eastAsia" w:ascii="黑体" w:hAnsi="黑体" w:eastAsia="黑体" w:cs="黑体"/>
                <w:b w:val="0"/>
                <w:bCs/>
                <w:color w:val="FF0000"/>
                <w:spacing w:val="0"/>
                <w:sz w:val="21"/>
                <w:szCs w:val="21"/>
              </w:rPr>
              <w:t>存在</w:t>
            </w:r>
            <w:r>
              <w:rPr>
                <w:rFonts w:hint="eastAsia" w:ascii="仿宋_GB2312" w:hAnsi="仿宋_GB2312" w:eastAsia="仿宋_GB2312" w:cs="仿宋_GB2312"/>
                <w:spacing w:val="0"/>
                <w:sz w:val="21"/>
                <w:szCs w:val="21"/>
              </w:rPr>
              <w:t>未按照</w:t>
            </w:r>
            <w:r>
              <w:rPr>
                <w:rFonts w:hint="eastAsia" w:ascii="黑体" w:hAnsi="黑体" w:eastAsia="黑体" w:cs="黑体"/>
                <w:b w:val="0"/>
                <w:bCs/>
                <w:color w:val="FF0000"/>
                <w:spacing w:val="0"/>
                <w:sz w:val="21"/>
                <w:szCs w:val="21"/>
              </w:rPr>
              <w:t>下列</w:t>
            </w:r>
            <w:r>
              <w:rPr>
                <w:rFonts w:hint="eastAsia" w:ascii="仿宋_GB2312" w:hAnsi="仿宋_GB2312" w:eastAsia="仿宋_GB2312" w:cs="仿宋_GB2312"/>
                <w:spacing w:val="0"/>
                <w:sz w:val="21"/>
                <w:szCs w:val="21"/>
              </w:rPr>
              <w:t>规定</w:t>
            </w:r>
            <w:r>
              <w:rPr>
                <w:rFonts w:hint="eastAsia" w:ascii="黑体" w:hAnsi="黑体" w:eastAsia="黑体" w:cs="黑体"/>
                <w:b/>
                <w:bCs/>
                <w:color w:val="009C46"/>
                <w:spacing w:val="0"/>
                <w:sz w:val="21"/>
                <w:szCs w:val="21"/>
              </w:rPr>
              <w:t>开展</w:t>
            </w:r>
            <w:r>
              <w:rPr>
                <w:rFonts w:hint="eastAsia" w:ascii="仿宋_GB2312" w:hAnsi="仿宋_GB2312" w:eastAsia="仿宋_GB2312" w:cs="仿宋_GB2312"/>
                <w:spacing w:val="0"/>
                <w:sz w:val="21"/>
                <w:szCs w:val="21"/>
              </w:rPr>
              <w:t>区域或者工作面突出危险性预测</w:t>
            </w:r>
            <w:r>
              <w:rPr>
                <w:rFonts w:hint="eastAsia" w:ascii="黑体" w:hAnsi="黑体" w:eastAsia="黑体" w:cs="黑体"/>
                <w:b w:val="0"/>
                <w:bCs/>
                <w:color w:val="FF0000"/>
                <w:spacing w:val="0"/>
                <w:sz w:val="21"/>
                <w:szCs w:val="21"/>
              </w:rPr>
              <w:t>进行采掘作业情形之一</w:t>
            </w:r>
            <w:r>
              <w:rPr>
                <w:rFonts w:hint="eastAsia" w:ascii="仿宋_GB2312" w:hAnsi="仿宋_GB2312" w:eastAsia="仿宋_GB2312" w:cs="仿宋_GB2312"/>
                <w:spacing w:val="0"/>
                <w:sz w:val="21"/>
                <w:szCs w:val="21"/>
              </w:rPr>
              <w:t>（直接认定为突出危险区域或者</w:t>
            </w:r>
            <w:r>
              <w:rPr>
                <w:rFonts w:hint="eastAsia" w:ascii="黑体" w:hAnsi="黑体" w:eastAsia="黑体" w:cs="黑体"/>
                <w:b/>
                <w:bCs/>
                <w:color w:val="009C46"/>
                <w:spacing w:val="0"/>
                <w:sz w:val="21"/>
                <w:szCs w:val="21"/>
              </w:rPr>
              <w:t>直接采取防治突出措施</w:t>
            </w:r>
            <w:r>
              <w:rPr>
                <w:rFonts w:hint="eastAsia" w:ascii="仿宋_GB2312" w:hAnsi="仿宋_GB2312" w:eastAsia="仿宋_GB2312" w:cs="仿宋_GB2312"/>
                <w:spacing w:val="0"/>
                <w:sz w:val="21"/>
                <w:szCs w:val="21"/>
              </w:rPr>
              <w:t>的除外）的:</w:t>
            </w:r>
          </w:p>
          <w:p w14:paraId="304B8B7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煤（岩）与瓦斯（二氧化碳）突出矿井应当主要依据煤层瓦斯的井下实测资料,并结合地质勘查资料、上水平及邻近区域的实测和生产资料等对开采的突出煤层进行区域突出危险性预测（以下简称区域预测）,未进行区域预测的区域视为突出危险区。</w:t>
            </w:r>
          </w:p>
          <w:p w14:paraId="3303D3E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突出煤层区域预测的范围根据煤（岩）与瓦斯（二氧化碳）突出矿井的开拓方式、巷道布置、地质构造分布、测试点布置等情况划定,区域预测范围最大不得超过1个采（盘）区,一般不小于1个区段;若1个区段预测为突出危险区的,不得在该区段内划分无突出危险区,若预测为无突出危险区的,可根据区段内测定的煤层瓦斯参数、煤层赋存、地质构造等逐块段进行区域预测。</w:t>
            </w:r>
          </w:p>
          <w:p w14:paraId="3F1714F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3.对已确切掌握煤层突出危险区域的分布规律,并有可靠的煤层赋存条件、地质构造、瓦斯参数等预测资料的煤矿,区域预测工作由煤矿总工程师组织实施;对不掌握分布规律和预测资料的煤矿,应当委托具备相应能力的机构进行区域预测。区域预测结果为无突出危险区的应当经煤矿企业技术负责人批准。</w:t>
            </w:r>
          </w:p>
        </w:tc>
      </w:tr>
      <w:tr w14:paraId="1DED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7F3030E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（四）未按照</w:t>
            </w:r>
            <w:r>
              <w:rPr>
                <w:rFonts w:hint="eastAsia" w:ascii="黑体" w:hAnsi="黑体" w:eastAsia="黑体" w:cs="黑体"/>
                <w:strike/>
                <w:dstrike w:val="0"/>
                <w:color w:val="0000FF"/>
                <w:spacing w:val="0"/>
                <w:sz w:val="21"/>
                <w:szCs w:val="21"/>
              </w:rPr>
              <w:t>国家</w:t>
            </w:r>
            <w:r>
              <w:rPr>
                <w:rFonts w:hint="eastAsia" w:ascii="仿宋_GB2312" w:hAnsi="仿宋_GB2312" w:eastAsia="仿宋_GB2312" w:cs="仿宋_GB2312"/>
                <w:spacing w:val="0"/>
                <w:sz w:val="21"/>
                <w:szCs w:val="21"/>
              </w:rPr>
              <w:t>规定采取防治突出措施的；</w:t>
            </w:r>
          </w:p>
          <w:p w14:paraId="2F024F76">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*细化7项区域防突措施、3项工作面防突措施</w:t>
            </w:r>
          </w:p>
          <w:p w14:paraId="31883F37">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jc w:val="both"/>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*增加保护层开采、预抽钻孔控制范围的具体参数(穿层钻孔外侧20m/10m/15m、定向长钻孔300m等)</w:t>
            </w:r>
          </w:p>
          <w:p w14:paraId="1E66107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p>
        </w:tc>
        <w:tc>
          <w:tcPr>
            <w:tcW w:w="4501" w:type="dxa"/>
            <w:tcMar>
              <w:top w:w="57" w:type="dxa"/>
              <w:left w:w="57" w:type="dxa"/>
              <w:bottom w:w="57" w:type="dxa"/>
              <w:right w:w="57" w:type="dxa"/>
            </w:tcMar>
            <w:vAlign w:val="top"/>
          </w:tcPr>
          <w:p w14:paraId="19672A7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b w:val="0"/>
                <w:bCs/>
                <w:color w:val="FF0000"/>
                <w:spacing w:val="0"/>
                <w:sz w:val="21"/>
                <w:szCs w:val="21"/>
              </w:rPr>
              <w:t>存在下列</w:t>
            </w:r>
            <w:r>
              <w:rPr>
                <w:rFonts w:hint="eastAsia" w:ascii="仿宋_GB2312" w:hAnsi="仿宋_GB2312" w:eastAsia="仿宋_GB2312" w:cs="仿宋_GB2312"/>
                <w:spacing w:val="0"/>
                <w:sz w:val="21"/>
                <w:szCs w:val="21"/>
              </w:rPr>
              <w:t>未按照规定采取</w:t>
            </w:r>
            <w:r>
              <w:rPr>
                <w:rFonts w:hint="eastAsia" w:ascii="黑体" w:hAnsi="黑体" w:eastAsia="黑体" w:cs="黑体"/>
                <w:b w:val="0"/>
                <w:bCs/>
                <w:color w:val="FF0000"/>
                <w:spacing w:val="0"/>
                <w:sz w:val="21"/>
                <w:szCs w:val="21"/>
              </w:rPr>
              <w:t>区域</w:t>
            </w:r>
            <w:r>
              <w:rPr>
                <w:rFonts w:hint="eastAsia" w:ascii="仿宋_GB2312" w:hAnsi="仿宋_GB2312" w:eastAsia="仿宋_GB2312" w:cs="仿宋_GB2312"/>
                <w:spacing w:val="0"/>
                <w:sz w:val="21"/>
                <w:szCs w:val="21"/>
              </w:rPr>
              <w:t>防治突出措施</w:t>
            </w:r>
            <w:r>
              <w:rPr>
                <w:rFonts w:hint="eastAsia" w:ascii="黑体" w:hAnsi="黑体" w:eastAsia="黑体" w:cs="黑体"/>
                <w:b w:val="0"/>
                <w:bCs/>
                <w:color w:val="FF0000"/>
                <w:spacing w:val="0"/>
                <w:sz w:val="21"/>
                <w:szCs w:val="21"/>
              </w:rPr>
              <w:t>情形之一</w:t>
            </w:r>
            <w:r>
              <w:rPr>
                <w:rFonts w:hint="eastAsia" w:ascii="仿宋_GB2312" w:hAnsi="仿宋_GB2312" w:eastAsia="仿宋_GB2312" w:cs="仿宋_GB2312"/>
                <w:spacing w:val="0"/>
                <w:sz w:val="21"/>
                <w:szCs w:val="21"/>
              </w:rPr>
              <w:t>的:</w:t>
            </w:r>
          </w:p>
          <w:p w14:paraId="34B4176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1.具备开采保护层条件的突出危险区未开采保护层。</w:t>
            </w:r>
          </w:p>
          <w:p w14:paraId="3A8A551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2.开采保护层时未同时抽采被保护层和邻近层卸压瓦斯,或者没有受保护层保护的范围未采取补充区域措施消突而进行采掘作业。</w:t>
            </w:r>
          </w:p>
          <w:p w14:paraId="5FB4B55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3.区域预抽钻孔评价单元控制范围不符合下列规定之一的:</w:t>
            </w:r>
          </w:p>
          <w:p w14:paraId="1CBF796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穿层钻孔或者顺层钻孔预抽区段煤层瓦斯区域防突措施的钻孔应当控制区段内整个回采区域、两侧回采巷道及其外侧如下范围内的煤层:倾斜、急倾斜煤层巷道上帮轮廓线外至少20m（均为沿煤层层面方向的距离,下同）,下帮至少10m,其他煤层为巷道两侧轮廓线外至少各15m。</w:t>
            </w:r>
          </w:p>
          <w:p w14:paraId="2D72AC9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（2）顺层钻孔或者穿层钻孔预抽回采区域煤层瓦斯区域防突措施的钻孔应当控制整个回采区域的煤层。</w:t>
            </w:r>
          </w:p>
          <w:p w14:paraId="7385A1E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穿层钻孔预抽井巷揭煤区域煤层瓦斯区域防突措施的钻孔应当在揭煤工作面距煤层最小法向距离7m以前实施,并用穿层钻孔至少控制以下范围的煤层:石门和立井、斜井揭煤处巷道轮廓线外12m（急倾斜煤层底部或者下帮6m）,同时还应当保证控制范围的外边缘到巷道轮廓线（包括预计前方揭煤段巷道的轮廓线）的最小距离不小于5m。</w:t>
            </w:r>
          </w:p>
          <w:p w14:paraId="4C9FB7C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（4）穿层钻孔预抽煤巷条带煤层瓦斯区域防突措施的钻孔应当控制整条煤层巷道及其两侧一定范围内的煤层,该范围与上述（1）中巷道外侧的要求相同。</w:t>
            </w:r>
          </w:p>
          <w:p w14:paraId="72D4015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（5）顺层钻孔预抽煤巷条带煤层瓦斯区域防突措施的钻孔应当控制煤巷条带前方长度不小于60m,煤巷两侧控制范围与上述（1）中巷道外侧的要求相同。</w:t>
            </w:r>
          </w:p>
          <w:p w14:paraId="4FA0890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（6）定向长钻孔预抽煤巷条带煤层瓦斯区域防突措施的钻孔应当控制煤巷条带煤层前方长度不小于300m和煤巷两侧轮廓线外一定范围,该范围与上述（1）中巷道外侧的要求相同。</w:t>
            </w:r>
          </w:p>
          <w:p w14:paraId="7534DE5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（7）对距本煤层法向距离小于5m且平均厚度大于0.3m的邻近突出煤层,预抽钻孔控制范围与本煤层相同。</w:t>
            </w:r>
          </w:p>
        </w:tc>
      </w:tr>
      <w:tr w14:paraId="2862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center"/>
          </w:tcPr>
          <w:p w14:paraId="5D21B5C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p>
        </w:tc>
        <w:tc>
          <w:tcPr>
            <w:tcW w:w="4501" w:type="dxa"/>
            <w:tcMar>
              <w:top w:w="57" w:type="dxa"/>
              <w:left w:w="57" w:type="dxa"/>
              <w:bottom w:w="57" w:type="dxa"/>
              <w:right w:w="57" w:type="dxa"/>
            </w:tcMar>
            <w:vAlign w:val="top"/>
          </w:tcPr>
          <w:p w14:paraId="5DB6EE2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b w:val="0"/>
                <w:bCs/>
                <w:color w:val="FF0000"/>
                <w:spacing w:val="0"/>
                <w:sz w:val="21"/>
                <w:szCs w:val="21"/>
              </w:rPr>
              <w:t>存在下列未按照规定采取工作面防治突出措施情形之一的:</w:t>
            </w:r>
          </w:p>
          <w:p w14:paraId="50A94A3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1.预测为突出危险工作面未采取工作面防突措施。</w:t>
            </w:r>
          </w:p>
          <w:p w14:paraId="529226A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2.揭煤作业不符合下列规定之一的:</w:t>
            </w:r>
          </w:p>
          <w:p w14:paraId="7067FAC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揭煤作业包括从距突出煤层底（顶）板的最小法向距离5m开始,直至揭穿煤层进入顶（底）板2m（最小法向距离）的全过程,应当采取局部综合防突措施;在距煤层底（顶）板最小法向距离5m至2m范围,掘进工作面应当采用远距离爆破。</w:t>
            </w:r>
          </w:p>
          <w:p w14:paraId="0B47795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（2）揭煤作业前应当编制井巷揭煤防突专项设计并经煤矿企业技术负责人批准。</w:t>
            </w:r>
          </w:p>
          <w:p w14:paraId="3A796E4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揭煤作业应当按照下列程序进行:①探明揭煤工作面和煤层的相对位置;②在与煤层保持适当距离的位置进行工作面预测或者区域验证;③工作面预测或者区域验证有突出危险时采取工作面防突措施;④实施工作面措施效果检验;⑤采用工作面预测方法进行揭煤验证;⑥采取安全防护措施并采用远距离爆破揭开或者穿过煤层。</w:t>
            </w:r>
          </w:p>
          <w:p w14:paraId="45C0D55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3.采掘作业进入最小防突措施超前距（煤巷掘进工作面5m,采煤工作面3m;在地质构造破坏严重地带煤巷掘进工作面不小于7m,采煤工作面不小于5m）以内。</w:t>
            </w:r>
          </w:p>
        </w:tc>
      </w:tr>
      <w:tr w14:paraId="18ADB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EDEFC8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（五）未按照</w:t>
            </w:r>
            <w:r>
              <w:rPr>
                <w:rFonts w:hint="eastAsia" w:ascii="黑体" w:hAnsi="黑体" w:eastAsia="黑体" w:cs="黑体"/>
                <w:strike/>
                <w:dstrike w:val="0"/>
                <w:color w:val="0000FF"/>
                <w:spacing w:val="0"/>
                <w:sz w:val="21"/>
                <w:szCs w:val="21"/>
              </w:rPr>
              <w:t>国家</w:t>
            </w:r>
            <w:r>
              <w:rPr>
                <w:rFonts w:hint="eastAsia" w:ascii="仿宋_GB2312" w:hAnsi="仿宋_GB2312" w:eastAsia="仿宋_GB2312" w:cs="仿宋_GB2312"/>
                <w:spacing w:val="0"/>
                <w:sz w:val="21"/>
                <w:szCs w:val="21"/>
              </w:rPr>
              <w:t>规定进行防突措施效果检验和验证，</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防突措施效果检验和验证</w:t>
            </w:r>
            <w:r>
              <w:rPr>
                <w:rFonts w:hint="eastAsia" w:ascii="黑体" w:hAnsi="黑体" w:eastAsia="黑体" w:cs="黑体"/>
                <w:b/>
                <w:bCs/>
                <w:color w:val="009C46"/>
                <w:spacing w:val="0"/>
                <w:sz w:val="21"/>
                <w:szCs w:val="21"/>
              </w:rPr>
              <w:t>不达标</w:t>
            </w:r>
            <w:r>
              <w:rPr>
                <w:rFonts w:hint="eastAsia" w:ascii="黑体" w:hAnsi="黑体" w:eastAsia="黑体" w:cs="黑体"/>
                <w:b/>
                <w:bCs/>
                <w:color w:val="009C46"/>
                <w:spacing w:val="0"/>
                <w:sz w:val="21"/>
                <w:szCs w:val="21"/>
                <w:vertAlign w:val="superscript"/>
                <w:lang w:val="en-US" w:eastAsia="zh-CN"/>
              </w:rPr>
              <w:t>①</w:t>
            </w:r>
            <w:r>
              <w:rPr>
                <w:rFonts w:hint="eastAsia" w:ascii="黑体" w:hAnsi="黑体" w:eastAsia="黑体" w:cs="黑体"/>
                <w:strike/>
                <w:dstrike w:val="0"/>
                <w:color w:val="0000FF"/>
                <w:spacing w:val="0"/>
                <w:sz w:val="21"/>
                <w:szCs w:val="21"/>
              </w:rPr>
              <w:t>仍然组织生产建设</w:t>
            </w:r>
            <w:r>
              <w:rPr>
                <w:rFonts w:hint="eastAsia" w:ascii="仿宋_GB2312" w:hAnsi="仿宋_GB2312" w:eastAsia="仿宋_GB2312" w:cs="仿宋_GB2312"/>
                <w:spacing w:val="0"/>
                <w:sz w:val="21"/>
                <w:szCs w:val="21"/>
              </w:rPr>
              <w:t>，</w:t>
            </w:r>
            <w:r>
              <w:rPr>
                <w:rFonts w:hint="eastAsia" w:ascii="黑体" w:hAnsi="黑体" w:eastAsia="黑体" w:cs="黑体"/>
                <w:strike/>
                <w:dstrike w:val="0"/>
                <w:color w:val="0000FF"/>
                <w:spacing w:val="0"/>
                <w:sz w:val="21"/>
                <w:szCs w:val="21"/>
              </w:rPr>
              <w:t>或者</w:t>
            </w:r>
            <w:r>
              <w:rPr>
                <w:rFonts w:hint="eastAsia" w:ascii="黑体" w:hAnsi="黑体" w:eastAsia="黑体" w:cs="黑体"/>
                <w:b/>
                <w:bCs/>
                <w:color w:val="009C46"/>
                <w:spacing w:val="0"/>
                <w:sz w:val="21"/>
                <w:szCs w:val="21"/>
              </w:rPr>
              <w:t>防突措施效果检验和验证数据</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造假的；</w:t>
            </w:r>
          </w:p>
        </w:tc>
        <w:tc>
          <w:tcPr>
            <w:tcW w:w="4501" w:type="dxa"/>
            <w:tcMar>
              <w:top w:w="57" w:type="dxa"/>
              <w:left w:w="57" w:type="dxa"/>
              <w:bottom w:w="57" w:type="dxa"/>
              <w:right w:w="57" w:type="dxa"/>
            </w:tcMar>
            <w:vAlign w:val="top"/>
          </w:tcPr>
          <w:p w14:paraId="04EF71C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b w:val="0"/>
                <w:bCs/>
                <w:color w:val="FF0000"/>
                <w:spacing w:val="0"/>
                <w:sz w:val="21"/>
                <w:szCs w:val="21"/>
              </w:rPr>
              <w:t>存在下列未按照规定进行防突措施效果检验和验证情形之一的:</w:t>
            </w:r>
          </w:p>
          <w:p w14:paraId="26F61A8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1.未按照</w:t>
            </w:r>
            <w:r>
              <w:rPr>
                <w:rFonts w:hint="eastAsia" w:ascii="黑体" w:hAnsi="黑体" w:eastAsia="黑体" w:cs="黑体"/>
                <w:b w:val="0"/>
                <w:bCs/>
                <w:color w:val="FF0000"/>
                <w:spacing w:val="0"/>
                <w:sz w:val="21"/>
                <w:szCs w:val="21"/>
              </w:rPr>
              <w:t>《煤矿安全规程》</w:t>
            </w:r>
            <w:r>
              <w:rPr>
                <w:rFonts w:hint="eastAsia" w:ascii="仿宋_GB2312" w:hAnsi="仿宋_GB2312" w:eastAsia="仿宋_GB2312" w:cs="仿宋_GB2312"/>
                <w:spacing w:val="0"/>
                <w:sz w:val="21"/>
                <w:szCs w:val="21"/>
              </w:rPr>
              <w:t>规定进行防突措施效果检验和验证。</w:t>
            </w:r>
          </w:p>
          <w:p w14:paraId="3FF5243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2.防突措施效果检验和验证</w:t>
            </w:r>
            <w:r>
              <w:rPr>
                <w:rFonts w:hint="eastAsia" w:ascii="黑体" w:hAnsi="黑体" w:eastAsia="黑体" w:cs="黑体"/>
                <w:b/>
                <w:bCs/>
                <w:color w:val="009C46"/>
                <w:spacing w:val="0"/>
                <w:sz w:val="21"/>
                <w:szCs w:val="21"/>
              </w:rPr>
              <w:t>任一指标达到表4至表7规定的临界值以上或者达到实际考察的临界值以上,未采取防突措施</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w:t>
            </w:r>
          </w:p>
          <w:p w14:paraId="6BE920A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val="0"/>
                <w:color w:val="FF0000"/>
                <w:spacing w:val="-6"/>
                <w:sz w:val="18"/>
                <w:szCs w:val="18"/>
                <w:lang w:val="en-US" w:eastAsia="zh-CN"/>
              </w:rPr>
            </w:pPr>
            <w:r>
              <w:rPr>
                <w:rFonts w:hint="eastAsia" w:ascii="黑体" w:hAnsi="黑体" w:eastAsia="黑体" w:cs="黑体"/>
                <w:b w:val="0"/>
                <w:bCs w:val="0"/>
                <w:color w:val="FF0000"/>
                <w:spacing w:val="-6"/>
                <w:sz w:val="18"/>
                <w:szCs w:val="18"/>
                <w:lang w:val="en-US" w:eastAsia="zh-CN"/>
              </w:rPr>
              <w:t>表4 根据煤层瓦斯压力和瓦斯含量进行区域预测的临界值</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471"/>
              <w:gridCol w:w="1678"/>
              <w:gridCol w:w="1103"/>
            </w:tblGrid>
            <w:tr w14:paraId="757BC766">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1471" w:type="dxa"/>
                  <w:tcBorders>
                    <w:top w:val="single" w:color="231F20" w:sz="4" w:space="0"/>
                    <w:left w:val="nil"/>
                  </w:tcBorders>
                  <w:tcMar>
                    <w:top w:w="28" w:type="dxa"/>
                    <w:left w:w="0" w:type="dxa"/>
                    <w:bottom w:w="28" w:type="dxa"/>
                    <w:right w:w="0" w:type="dxa"/>
                  </w:tcMar>
                  <w:vAlign w:val="center"/>
                </w:tcPr>
                <w:p w14:paraId="703B3FFD">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rPr>
                    <w:t>瓦斯压力</w:t>
                  </w:r>
                  <w:r>
                    <w:rPr>
                      <w:rFonts w:hint="eastAsia" w:ascii="仿宋_GB2312" w:hAnsi="仿宋_GB2312" w:eastAsia="仿宋_GB2312" w:cs="仿宋_GB2312"/>
                      <w:i/>
                      <w:iCs/>
                      <w:color w:val="FF0000"/>
                      <w:spacing w:val="0"/>
                      <w:sz w:val="18"/>
                      <w:szCs w:val="18"/>
                    </w:rPr>
                    <w:t>p</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MPa</w:t>
                  </w:r>
                  <w:r>
                    <w:rPr>
                      <w:rFonts w:hint="eastAsia" w:ascii="仿宋_GB2312" w:hAnsi="仿宋_GB2312" w:eastAsia="仿宋_GB2312" w:cs="仿宋_GB2312"/>
                      <w:color w:val="FF0000"/>
                      <w:spacing w:val="0"/>
                      <w:sz w:val="18"/>
                      <w:szCs w:val="18"/>
                      <w:lang w:eastAsia="zh-CN"/>
                    </w:rPr>
                    <w:t>）</w:t>
                  </w:r>
                </w:p>
              </w:tc>
              <w:tc>
                <w:tcPr>
                  <w:tcW w:w="1678" w:type="dxa"/>
                  <w:tcBorders>
                    <w:top w:val="single" w:color="231F20" w:sz="4" w:space="0"/>
                  </w:tcBorders>
                  <w:tcMar>
                    <w:top w:w="28" w:type="dxa"/>
                    <w:left w:w="0" w:type="dxa"/>
                    <w:bottom w:w="28" w:type="dxa"/>
                    <w:right w:w="0" w:type="dxa"/>
                  </w:tcMar>
                  <w:vAlign w:val="center"/>
                </w:tcPr>
                <w:p w14:paraId="2B60E11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rPr>
                    <w:t>瓦斯含量</w:t>
                  </w:r>
                  <w:r>
                    <w:rPr>
                      <w:rFonts w:hint="eastAsia" w:ascii="仿宋_GB2312" w:hAnsi="仿宋_GB2312" w:eastAsia="仿宋_GB2312" w:cs="仿宋_GB2312"/>
                      <w:i/>
                      <w:iCs/>
                      <w:color w:val="FF0000"/>
                      <w:spacing w:val="0"/>
                      <w:sz w:val="18"/>
                      <w:szCs w:val="18"/>
                    </w:rPr>
                    <w:t>W</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m</w:t>
                  </w:r>
                  <w:r>
                    <w:rPr>
                      <w:rFonts w:hint="eastAsia" w:ascii="仿宋_GB2312" w:hAnsi="仿宋_GB2312" w:eastAsia="仿宋_GB2312" w:cs="仿宋_GB2312"/>
                      <w:color w:val="FF0000"/>
                      <w:spacing w:val="0"/>
                      <w:sz w:val="18"/>
                      <w:szCs w:val="18"/>
                      <w:vertAlign w:val="superscript"/>
                    </w:rPr>
                    <w:t>3</w:t>
                  </w:r>
                  <w:r>
                    <w:rPr>
                      <w:rFonts w:hint="eastAsia" w:ascii="仿宋_GB2312" w:hAnsi="仿宋_GB2312" w:eastAsia="仿宋_GB2312" w:cs="仿宋_GB2312"/>
                      <w:color w:val="FF0000"/>
                      <w:spacing w:val="0"/>
                      <w:sz w:val="18"/>
                      <w:szCs w:val="18"/>
                    </w:rPr>
                    <w:t>/t</w:t>
                  </w:r>
                  <w:r>
                    <w:rPr>
                      <w:rFonts w:hint="eastAsia" w:ascii="仿宋_GB2312" w:hAnsi="仿宋_GB2312" w:eastAsia="仿宋_GB2312" w:cs="仿宋_GB2312"/>
                      <w:color w:val="FF0000"/>
                      <w:spacing w:val="0"/>
                      <w:sz w:val="18"/>
                      <w:szCs w:val="18"/>
                      <w:lang w:eastAsia="zh-CN"/>
                    </w:rPr>
                    <w:t>）</w:t>
                  </w:r>
                </w:p>
              </w:tc>
              <w:tc>
                <w:tcPr>
                  <w:tcW w:w="1103" w:type="dxa"/>
                  <w:tcBorders>
                    <w:top w:val="single" w:color="231F20" w:sz="4" w:space="0"/>
                    <w:right w:val="nil"/>
                  </w:tcBorders>
                  <w:tcMar>
                    <w:top w:w="28" w:type="dxa"/>
                    <w:left w:w="0" w:type="dxa"/>
                    <w:bottom w:w="28" w:type="dxa"/>
                    <w:right w:w="0" w:type="dxa"/>
                  </w:tcMar>
                  <w:vAlign w:val="center"/>
                </w:tcPr>
                <w:p w14:paraId="4D7B99F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区域类别</w:t>
                  </w:r>
                </w:p>
              </w:tc>
            </w:tr>
            <w:tr w14:paraId="2A41FCE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1471" w:type="dxa"/>
                  <w:tcBorders>
                    <w:left w:val="nil"/>
                  </w:tcBorders>
                  <w:tcMar>
                    <w:top w:w="28" w:type="dxa"/>
                    <w:left w:w="0" w:type="dxa"/>
                    <w:bottom w:w="28" w:type="dxa"/>
                    <w:right w:w="0" w:type="dxa"/>
                  </w:tcMar>
                  <w:vAlign w:val="center"/>
                </w:tcPr>
                <w:p w14:paraId="068226B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i/>
                      <w:iCs/>
                      <w:color w:val="FF0000"/>
                      <w:spacing w:val="0"/>
                      <w:sz w:val="18"/>
                      <w:szCs w:val="18"/>
                    </w:rPr>
                    <w:t>P</w:t>
                  </w:r>
                  <w:r>
                    <w:rPr>
                      <w:rFonts w:hint="eastAsia" w:ascii="仿宋_GB2312" w:hAnsi="仿宋_GB2312" w:eastAsia="仿宋_GB2312" w:cs="仿宋_GB2312"/>
                      <w:i/>
                      <w:iCs/>
                      <w:color w:val="FF0000"/>
                      <w:spacing w:val="0"/>
                      <w:sz w:val="18"/>
                      <w:szCs w:val="18"/>
                      <w:lang w:val="en-US" w:eastAsia="zh-CN"/>
                    </w:rPr>
                    <w:t xml:space="preserve"> </w:t>
                  </w:r>
                  <w:r>
                    <w:rPr>
                      <w:rFonts w:hint="eastAsia" w:ascii="仿宋_GB2312" w:hAnsi="仿宋_GB2312" w:eastAsia="仿宋_GB2312" w:cs="仿宋_GB2312"/>
                      <w:color w:val="FF0000"/>
                      <w:spacing w:val="0"/>
                      <w:sz w:val="18"/>
                      <w:szCs w:val="18"/>
                    </w:rPr>
                    <w:t>&lt;0</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74</w:t>
                  </w:r>
                </w:p>
              </w:tc>
              <w:tc>
                <w:tcPr>
                  <w:tcW w:w="1678" w:type="dxa"/>
                  <w:tcMar>
                    <w:top w:w="28" w:type="dxa"/>
                    <w:left w:w="0" w:type="dxa"/>
                    <w:bottom w:w="28" w:type="dxa"/>
                    <w:right w:w="0" w:type="dxa"/>
                  </w:tcMar>
                  <w:vAlign w:val="center"/>
                </w:tcPr>
                <w:p w14:paraId="71CF92B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i/>
                      <w:iCs/>
                      <w:color w:val="FF0000"/>
                      <w:spacing w:val="0"/>
                      <w:sz w:val="18"/>
                      <w:szCs w:val="18"/>
                    </w:rPr>
                    <w:t>W</w:t>
                  </w:r>
                  <w:r>
                    <w:rPr>
                      <w:rFonts w:hint="eastAsia" w:ascii="仿宋_GB2312" w:hAnsi="仿宋_GB2312" w:eastAsia="仿宋_GB2312" w:cs="仿宋_GB2312"/>
                      <w:i/>
                      <w:iCs/>
                      <w:color w:val="FF0000"/>
                      <w:spacing w:val="0"/>
                      <w:sz w:val="18"/>
                      <w:szCs w:val="18"/>
                      <w:lang w:val="en-US" w:eastAsia="zh-CN"/>
                    </w:rPr>
                    <w:t xml:space="preserve"> </w:t>
                  </w:r>
                  <w:r>
                    <w:rPr>
                      <w:rFonts w:hint="eastAsia" w:ascii="仿宋_GB2312" w:hAnsi="仿宋_GB2312" w:eastAsia="仿宋_GB2312" w:cs="仿宋_GB2312"/>
                      <w:color w:val="FF0000"/>
                      <w:spacing w:val="0"/>
                      <w:sz w:val="18"/>
                      <w:szCs w:val="18"/>
                    </w:rPr>
                    <w:t>&lt;8</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构造带</w:t>
                  </w:r>
                  <w:r>
                    <w:rPr>
                      <w:rFonts w:hint="eastAsia" w:ascii="仿宋_GB2312" w:hAnsi="仿宋_GB2312" w:eastAsia="仿宋_GB2312" w:cs="仿宋_GB2312"/>
                      <w:i/>
                      <w:iCs/>
                      <w:color w:val="FF0000"/>
                      <w:spacing w:val="0"/>
                      <w:sz w:val="18"/>
                      <w:szCs w:val="18"/>
                    </w:rPr>
                    <w:t>W</w:t>
                  </w:r>
                  <w:r>
                    <w:rPr>
                      <w:rFonts w:hint="eastAsia" w:ascii="仿宋_GB2312" w:hAnsi="仿宋_GB2312" w:eastAsia="仿宋_GB2312" w:cs="仿宋_GB2312"/>
                      <w:i/>
                      <w:iCs/>
                      <w:color w:val="FF0000"/>
                      <w:spacing w:val="0"/>
                      <w:sz w:val="18"/>
                      <w:szCs w:val="18"/>
                      <w:lang w:val="en-US" w:eastAsia="zh-CN"/>
                    </w:rPr>
                    <w:t xml:space="preserve"> </w:t>
                  </w:r>
                  <w:r>
                    <w:rPr>
                      <w:rFonts w:hint="eastAsia" w:ascii="仿宋_GB2312" w:hAnsi="仿宋_GB2312" w:eastAsia="仿宋_GB2312" w:cs="仿宋_GB2312"/>
                      <w:color w:val="FF0000"/>
                      <w:spacing w:val="0"/>
                      <w:sz w:val="18"/>
                      <w:szCs w:val="18"/>
                    </w:rPr>
                    <w:t>&lt;6</w:t>
                  </w:r>
                  <w:r>
                    <w:rPr>
                      <w:rFonts w:hint="eastAsia" w:ascii="仿宋_GB2312" w:hAnsi="仿宋_GB2312" w:eastAsia="仿宋_GB2312" w:cs="仿宋_GB2312"/>
                      <w:color w:val="FF0000"/>
                      <w:spacing w:val="0"/>
                      <w:sz w:val="18"/>
                      <w:szCs w:val="18"/>
                      <w:lang w:eastAsia="zh-CN"/>
                    </w:rPr>
                    <w:t>）</w:t>
                  </w:r>
                </w:p>
              </w:tc>
              <w:tc>
                <w:tcPr>
                  <w:tcW w:w="1103" w:type="dxa"/>
                  <w:tcBorders>
                    <w:right w:val="nil"/>
                  </w:tcBorders>
                  <w:tcMar>
                    <w:top w:w="28" w:type="dxa"/>
                    <w:left w:w="0" w:type="dxa"/>
                    <w:bottom w:w="28" w:type="dxa"/>
                    <w:right w:w="0" w:type="dxa"/>
                  </w:tcMar>
                  <w:vAlign w:val="center"/>
                </w:tcPr>
                <w:p w14:paraId="3DFD435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无突出危险区</w:t>
                  </w:r>
                </w:p>
              </w:tc>
            </w:tr>
            <w:tr w14:paraId="43F1ED0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3149" w:type="dxa"/>
                  <w:gridSpan w:val="2"/>
                  <w:tcBorders>
                    <w:left w:val="nil"/>
                    <w:bottom w:val="single" w:color="231F20" w:sz="4" w:space="0"/>
                  </w:tcBorders>
                  <w:tcMar>
                    <w:top w:w="28" w:type="dxa"/>
                    <w:left w:w="0" w:type="dxa"/>
                    <w:bottom w:w="28" w:type="dxa"/>
                    <w:right w:w="0" w:type="dxa"/>
                  </w:tcMar>
                  <w:vAlign w:val="center"/>
                </w:tcPr>
                <w:p w14:paraId="15EB55E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除上述情况以外的其他情况</w:t>
                  </w:r>
                </w:p>
              </w:tc>
              <w:tc>
                <w:tcPr>
                  <w:tcW w:w="1103" w:type="dxa"/>
                  <w:tcBorders>
                    <w:bottom w:val="single" w:color="231F20" w:sz="4" w:space="0"/>
                    <w:right w:val="nil"/>
                  </w:tcBorders>
                  <w:tcMar>
                    <w:top w:w="28" w:type="dxa"/>
                    <w:left w:w="0" w:type="dxa"/>
                    <w:bottom w:w="28" w:type="dxa"/>
                    <w:right w:w="0" w:type="dxa"/>
                  </w:tcMar>
                  <w:vAlign w:val="center"/>
                </w:tcPr>
                <w:p w14:paraId="543983F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突出危险区</w:t>
                  </w:r>
                </w:p>
              </w:tc>
            </w:tr>
          </w:tbl>
          <w:p w14:paraId="716C4C74">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firstLine="0" w:firstLineChars="0"/>
              <w:jc w:val="center"/>
              <w:textAlignment w:val="auto"/>
              <w:rPr>
                <w:rFonts w:hint="eastAsia" w:ascii="黑体" w:hAnsi="黑体" w:eastAsia="黑体" w:cs="黑体"/>
                <w:b w:val="0"/>
                <w:bCs w:val="0"/>
                <w:color w:val="FF0000"/>
                <w:spacing w:val="0"/>
                <w:sz w:val="18"/>
                <w:szCs w:val="18"/>
                <w:lang w:val="en-US" w:eastAsia="zh-CN"/>
              </w:rPr>
            </w:pPr>
            <w:r>
              <w:rPr>
                <w:rFonts w:hint="eastAsia" w:ascii="黑体" w:hAnsi="黑体" w:eastAsia="黑体" w:cs="黑体"/>
                <w:b w:val="0"/>
                <w:bCs w:val="0"/>
                <w:color w:val="FF0000"/>
                <w:spacing w:val="0"/>
                <w:sz w:val="18"/>
                <w:szCs w:val="18"/>
                <w:lang w:val="en-US" w:eastAsia="zh-CN"/>
              </w:rPr>
              <w:t>表5 钻屑瓦斯解吸指标法预测井巷揭煤工作面突出危险性的参考临界值</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632"/>
              <w:gridCol w:w="1418"/>
              <w:gridCol w:w="2202"/>
            </w:tblGrid>
            <w:tr w14:paraId="0C4B525F">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632" w:type="dxa"/>
                  <w:tcBorders>
                    <w:top w:val="single" w:color="231F20" w:sz="4" w:space="0"/>
                    <w:left w:val="nil"/>
                  </w:tcBorders>
                  <w:vAlign w:val="center"/>
                </w:tcPr>
                <w:p w14:paraId="5F9BBF5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煤样</w:t>
                  </w:r>
                </w:p>
              </w:tc>
              <w:tc>
                <w:tcPr>
                  <w:tcW w:w="1418" w:type="dxa"/>
                  <w:tcBorders>
                    <w:top w:val="single" w:color="231F20" w:sz="4" w:space="0"/>
                  </w:tcBorders>
                  <w:vAlign w:val="center"/>
                </w:tcPr>
                <w:p w14:paraId="1AB0AB80">
                  <w:pPr>
                    <w:keepNext w:val="0"/>
                    <w:keepLines w:val="0"/>
                    <w:pageBreakBefore w:val="0"/>
                    <w:widowControl w:val="0"/>
                    <w:kinsoku/>
                    <w:wordWrap/>
                    <w:overflowPunct/>
                    <w:topLinePunct w:val="0"/>
                    <w:autoSpaceDE w:val="0"/>
                    <w:autoSpaceDN w:val="0"/>
                    <w:bidi w:val="0"/>
                    <w:adjustRightInd w:val="0"/>
                    <w:snapToGrid w:val="0"/>
                    <w:spacing w:line="200" w:lineRule="exact"/>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rPr>
                    <w:t>钻屑瓦斯解吸指标Δ</w:t>
                  </w:r>
                  <w:r>
                    <w:rPr>
                      <w:rFonts w:hint="eastAsia" w:ascii="仿宋_GB2312" w:hAnsi="仿宋_GB2312" w:eastAsia="仿宋_GB2312" w:cs="仿宋_GB2312"/>
                      <w:i/>
                      <w:iCs/>
                      <w:color w:val="FF0000"/>
                      <w:spacing w:val="0"/>
                      <w:sz w:val="18"/>
                      <w:szCs w:val="18"/>
                      <w:u w:val="none"/>
                    </w:rPr>
                    <w:t>h</w:t>
                  </w:r>
                  <w:r>
                    <w:rPr>
                      <w:rFonts w:hint="eastAsia" w:ascii="仿宋_GB2312" w:hAnsi="仿宋_GB2312" w:eastAsia="仿宋_GB2312" w:cs="仿宋_GB2312"/>
                      <w:i/>
                      <w:iCs/>
                      <w:color w:val="FF0000"/>
                      <w:spacing w:val="0"/>
                      <w:sz w:val="18"/>
                      <w:szCs w:val="18"/>
                      <w:u w:val="none"/>
                      <w:vertAlign w:val="subscript"/>
                    </w:rPr>
                    <w:t>2</w:t>
                  </w:r>
                  <w:r>
                    <w:rPr>
                      <w:rFonts w:hint="eastAsia" w:ascii="仿宋_GB2312" w:hAnsi="仿宋_GB2312" w:eastAsia="仿宋_GB2312" w:cs="仿宋_GB2312"/>
                      <w:color w:val="FF0000"/>
                      <w:spacing w:val="0"/>
                      <w:sz w:val="18"/>
                      <w:szCs w:val="18"/>
                    </w:rPr>
                    <w:t>临界值</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Pa</w:t>
                  </w:r>
                  <w:r>
                    <w:rPr>
                      <w:rFonts w:hint="eastAsia" w:ascii="仿宋_GB2312" w:hAnsi="仿宋_GB2312" w:eastAsia="仿宋_GB2312" w:cs="仿宋_GB2312"/>
                      <w:color w:val="FF0000"/>
                      <w:spacing w:val="0"/>
                      <w:sz w:val="18"/>
                      <w:szCs w:val="18"/>
                      <w:lang w:eastAsia="zh-CN"/>
                    </w:rPr>
                    <w:t>）</w:t>
                  </w:r>
                </w:p>
              </w:tc>
              <w:tc>
                <w:tcPr>
                  <w:tcW w:w="2202" w:type="dxa"/>
                  <w:tcBorders>
                    <w:top w:val="single" w:color="231F20" w:sz="4" w:space="0"/>
                    <w:right w:val="nil"/>
                  </w:tcBorders>
                  <w:vAlign w:val="center"/>
                </w:tcPr>
                <w:p w14:paraId="1F3FEC6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钻屑瓦斯解吸指标</w:t>
                  </w:r>
                </w:p>
                <w:p w14:paraId="1BA43787">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i/>
                      <w:iCs/>
                      <w:color w:val="FF0000"/>
                      <w:spacing w:val="0"/>
                      <w:sz w:val="18"/>
                      <w:szCs w:val="18"/>
                    </w:rPr>
                    <w:t>K</w:t>
                  </w:r>
                  <w:r>
                    <w:rPr>
                      <w:rFonts w:hint="eastAsia" w:ascii="仿宋_GB2312" w:hAnsi="仿宋_GB2312" w:eastAsia="仿宋_GB2312" w:cs="仿宋_GB2312"/>
                      <w:i/>
                      <w:iCs/>
                      <w:color w:val="FF0000"/>
                      <w:spacing w:val="0"/>
                      <w:sz w:val="18"/>
                      <w:szCs w:val="18"/>
                      <w:vertAlign w:val="subscript"/>
                    </w:rPr>
                    <w:t>1</w:t>
                  </w:r>
                  <w:r>
                    <w:rPr>
                      <w:rFonts w:hint="eastAsia" w:ascii="仿宋_GB2312" w:hAnsi="仿宋_GB2312" w:eastAsia="仿宋_GB2312" w:cs="仿宋_GB2312"/>
                      <w:i/>
                      <w:iCs/>
                      <w:color w:val="FF0000"/>
                      <w:spacing w:val="0"/>
                      <w:sz w:val="18"/>
                      <w:szCs w:val="18"/>
                      <w:lang w:val="en-US" w:eastAsia="zh-CN"/>
                    </w:rPr>
                    <w:t xml:space="preserve"> </w:t>
                  </w:r>
                  <w:r>
                    <w:rPr>
                      <w:rFonts w:hint="eastAsia" w:ascii="仿宋_GB2312" w:hAnsi="仿宋_GB2312" w:eastAsia="仿宋_GB2312" w:cs="仿宋_GB2312"/>
                      <w:color w:val="FF0000"/>
                      <w:spacing w:val="0"/>
                      <w:sz w:val="18"/>
                      <w:szCs w:val="18"/>
                    </w:rPr>
                    <w:t>临界值[mL/</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g</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min</w:t>
                  </w:r>
                  <w:r>
                    <w:rPr>
                      <w:rFonts w:hint="eastAsia" w:ascii="仿宋_GB2312" w:hAnsi="仿宋_GB2312" w:eastAsia="仿宋_GB2312" w:cs="仿宋_GB2312"/>
                      <w:color w:val="FF0000"/>
                      <w:spacing w:val="0"/>
                      <w:sz w:val="18"/>
                      <w:szCs w:val="18"/>
                      <w:vertAlign w:val="superscript"/>
                    </w:rPr>
                    <w:t>1/2</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w:t>
                  </w:r>
                </w:p>
              </w:tc>
            </w:tr>
            <w:tr w14:paraId="3AC80A98">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632" w:type="dxa"/>
                  <w:tcBorders>
                    <w:left w:val="nil"/>
                  </w:tcBorders>
                  <w:tcMar>
                    <w:top w:w="28" w:type="dxa"/>
                    <w:left w:w="0" w:type="dxa"/>
                    <w:bottom w:w="28" w:type="dxa"/>
                    <w:right w:w="0" w:type="dxa"/>
                  </w:tcMar>
                  <w:vAlign w:val="center"/>
                </w:tcPr>
                <w:p w14:paraId="61CC24A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干煤样</w:t>
                  </w:r>
                </w:p>
              </w:tc>
              <w:tc>
                <w:tcPr>
                  <w:tcW w:w="1418" w:type="dxa"/>
                  <w:tcMar>
                    <w:top w:w="28" w:type="dxa"/>
                    <w:left w:w="0" w:type="dxa"/>
                    <w:bottom w:w="28" w:type="dxa"/>
                    <w:right w:w="0" w:type="dxa"/>
                  </w:tcMar>
                  <w:vAlign w:val="center"/>
                </w:tcPr>
                <w:p w14:paraId="2FDB7B9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200</w:t>
                  </w:r>
                </w:p>
              </w:tc>
              <w:tc>
                <w:tcPr>
                  <w:tcW w:w="2202" w:type="dxa"/>
                  <w:tcBorders>
                    <w:right w:val="nil"/>
                  </w:tcBorders>
                  <w:tcMar>
                    <w:top w:w="28" w:type="dxa"/>
                    <w:left w:w="0" w:type="dxa"/>
                    <w:bottom w:w="28" w:type="dxa"/>
                    <w:right w:w="0" w:type="dxa"/>
                  </w:tcMar>
                  <w:vAlign w:val="center"/>
                </w:tcPr>
                <w:p w14:paraId="2830E0A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0</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5</w:t>
                  </w:r>
                </w:p>
              </w:tc>
            </w:tr>
            <w:tr w14:paraId="41CD8C73">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632" w:type="dxa"/>
                  <w:tcBorders>
                    <w:left w:val="nil"/>
                    <w:bottom w:val="single" w:color="231F20" w:sz="4" w:space="0"/>
                  </w:tcBorders>
                  <w:tcMar>
                    <w:top w:w="28" w:type="dxa"/>
                    <w:left w:w="0" w:type="dxa"/>
                    <w:bottom w:w="28" w:type="dxa"/>
                    <w:right w:w="0" w:type="dxa"/>
                  </w:tcMar>
                  <w:vAlign w:val="center"/>
                </w:tcPr>
                <w:p w14:paraId="1448706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湿煤样</w:t>
                  </w:r>
                </w:p>
              </w:tc>
              <w:tc>
                <w:tcPr>
                  <w:tcW w:w="1418" w:type="dxa"/>
                  <w:tcBorders>
                    <w:bottom w:val="single" w:color="231F20" w:sz="4" w:space="0"/>
                  </w:tcBorders>
                  <w:tcMar>
                    <w:top w:w="28" w:type="dxa"/>
                    <w:left w:w="0" w:type="dxa"/>
                    <w:bottom w:w="28" w:type="dxa"/>
                    <w:right w:w="0" w:type="dxa"/>
                  </w:tcMar>
                  <w:vAlign w:val="center"/>
                </w:tcPr>
                <w:p w14:paraId="43D94AE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160</w:t>
                  </w:r>
                </w:p>
              </w:tc>
              <w:tc>
                <w:tcPr>
                  <w:tcW w:w="2202" w:type="dxa"/>
                  <w:tcBorders>
                    <w:bottom w:val="single" w:color="231F20" w:sz="4" w:space="0"/>
                    <w:right w:val="nil"/>
                  </w:tcBorders>
                  <w:tcMar>
                    <w:top w:w="28" w:type="dxa"/>
                    <w:left w:w="0" w:type="dxa"/>
                    <w:bottom w:w="28" w:type="dxa"/>
                    <w:right w:w="0" w:type="dxa"/>
                  </w:tcMar>
                  <w:vAlign w:val="center"/>
                </w:tcPr>
                <w:p w14:paraId="1669C8B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0</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4</w:t>
                  </w:r>
                </w:p>
              </w:tc>
            </w:tr>
          </w:tbl>
          <w:p w14:paraId="750DD23C">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firstLine="0" w:firstLineChars="0"/>
              <w:jc w:val="center"/>
              <w:textAlignment w:val="auto"/>
              <w:rPr>
                <w:rFonts w:hint="eastAsia" w:ascii="黑体" w:hAnsi="黑体" w:eastAsia="黑体" w:cs="黑体"/>
                <w:b w:val="0"/>
                <w:bCs w:val="0"/>
                <w:color w:val="FF0000"/>
                <w:spacing w:val="0"/>
                <w:sz w:val="18"/>
                <w:szCs w:val="18"/>
                <w:lang w:val="en-US" w:eastAsia="zh-CN"/>
              </w:rPr>
            </w:pPr>
            <w:r>
              <w:rPr>
                <w:rFonts w:hint="eastAsia" w:ascii="黑体" w:hAnsi="黑体" w:eastAsia="黑体" w:cs="黑体"/>
                <w:b w:val="0"/>
                <w:bCs w:val="0"/>
                <w:color w:val="FF0000"/>
                <w:spacing w:val="0"/>
                <w:sz w:val="18"/>
                <w:szCs w:val="18"/>
                <w:lang w:val="en-US" w:eastAsia="zh-CN"/>
              </w:rPr>
              <w:t>表6 钻屑指标法预测煤巷掘进工作面突出危险性的参考临界值</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101"/>
              <w:gridCol w:w="1656"/>
              <w:gridCol w:w="771"/>
              <w:gridCol w:w="724"/>
            </w:tblGrid>
            <w:tr w14:paraId="1335EE4C">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1101" w:type="dxa"/>
                  <w:vMerge w:val="restart"/>
                  <w:tcBorders>
                    <w:top w:val="single" w:color="231F20" w:sz="4" w:space="0"/>
                    <w:left w:val="nil"/>
                    <w:bottom w:val="nil"/>
                  </w:tcBorders>
                  <w:vAlign w:val="center"/>
                </w:tcPr>
                <w:p w14:paraId="6F53C648">
                  <w:pPr>
                    <w:keepNext w:val="0"/>
                    <w:keepLines w:val="0"/>
                    <w:pageBreakBefore w:val="0"/>
                    <w:widowControl w:val="0"/>
                    <w:kinsoku/>
                    <w:wordWrap/>
                    <w:overflowPunct/>
                    <w:topLinePunct w:val="0"/>
                    <w:autoSpaceDE w:val="0"/>
                    <w:autoSpaceDN w:val="0"/>
                    <w:bidi w:val="0"/>
                    <w:adjustRightInd w:val="0"/>
                    <w:snapToGrid w:val="0"/>
                    <w:spacing w:line="200" w:lineRule="exact"/>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rPr>
                    <w:t>钻屑瓦斯解吸指标Δ</w:t>
                  </w:r>
                  <w:r>
                    <w:rPr>
                      <w:rFonts w:hint="eastAsia" w:ascii="仿宋_GB2312" w:hAnsi="仿宋_GB2312" w:eastAsia="仿宋_GB2312" w:cs="仿宋_GB2312"/>
                      <w:i/>
                      <w:iCs/>
                      <w:color w:val="FF0000"/>
                      <w:spacing w:val="0"/>
                      <w:sz w:val="18"/>
                      <w:szCs w:val="18"/>
                    </w:rPr>
                    <w:t>h</w:t>
                  </w:r>
                  <w:r>
                    <w:rPr>
                      <w:rFonts w:hint="eastAsia" w:ascii="仿宋_GB2312" w:hAnsi="仿宋_GB2312" w:eastAsia="仿宋_GB2312" w:cs="仿宋_GB2312"/>
                      <w:i/>
                      <w:iCs/>
                      <w:color w:val="FF0000"/>
                      <w:spacing w:val="0"/>
                      <w:sz w:val="18"/>
                      <w:szCs w:val="18"/>
                      <w:vertAlign w:val="subscript"/>
                    </w:rPr>
                    <w:t>2</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Pa</w:t>
                  </w:r>
                  <w:r>
                    <w:rPr>
                      <w:rFonts w:hint="eastAsia" w:ascii="仿宋_GB2312" w:hAnsi="仿宋_GB2312" w:eastAsia="仿宋_GB2312" w:cs="仿宋_GB2312"/>
                      <w:color w:val="FF0000"/>
                      <w:spacing w:val="0"/>
                      <w:sz w:val="18"/>
                      <w:szCs w:val="18"/>
                      <w:lang w:eastAsia="zh-CN"/>
                    </w:rPr>
                    <w:t>）</w:t>
                  </w:r>
                </w:p>
              </w:tc>
              <w:tc>
                <w:tcPr>
                  <w:tcW w:w="1656" w:type="dxa"/>
                  <w:vMerge w:val="restart"/>
                  <w:tcBorders>
                    <w:top w:val="single" w:color="231F20" w:sz="4" w:space="0"/>
                    <w:bottom w:val="nil"/>
                  </w:tcBorders>
                  <w:vAlign w:val="center"/>
                </w:tcPr>
                <w:p w14:paraId="0B0D44A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钻屑瓦斯解吸指标</w:t>
                  </w:r>
                </w:p>
                <w:p w14:paraId="4699237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i/>
                      <w:iCs/>
                      <w:color w:val="FF0000"/>
                      <w:spacing w:val="0"/>
                      <w:sz w:val="18"/>
                      <w:szCs w:val="18"/>
                    </w:rPr>
                    <w:t>K</w:t>
                  </w:r>
                  <w:r>
                    <w:rPr>
                      <w:rFonts w:hint="eastAsia" w:ascii="仿宋_GB2312" w:hAnsi="仿宋_GB2312" w:eastAsia="仿宋_GB2312" w:cs="仿宋_GB2312"/>
                      <w:i/>
                      <w:iCs/>
                      <w:color w:val="FF0000"/>
                      <w:spacing w:val="0"/>
                      <w:sz w:val="18"/>
                      <w:szCs w:val="18"/>
                      <w:vertAlign w:val="subscript"/>
                    </w:rPr>
                    <w:t>1</w:t>
                  </w:r>
                  <w:r>
                    <w:rPr>
                      <w:rFonts w:hint="eastAsia" w:ascii="仿宋_GB2312" w:hAnsi="仿宋_GB2312" w:eastAsia="仿宋_GB2312" w:cs="仿宋_GB2312"/>
                      <w:color w:val="FF0000"/>
                      <w:spacing w:val="0"/>
                      <w:sz w:val="18"/>
                      <w:szCs w:val="18"/>
                    </w:rPr>
                    <w:t>[mL/</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g</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min</w:t>
                  </w:r>
                  <w:r>
                    <w:rPr>
                      <w:rFonts w:hint="eastAsia" w:ascii="仿宋_GB2312" w:hAnsi="仿宋_GB2312" w:eastAsia="仿宋_GB2312" w:cs="仿宋_GB2312"/>
                      <w:color w:val="FF0000"/>
                      <w:spacing w:val="0"/>
                      <w:sz w:val="18"/>
                      <w:szCs w:val="18"/>
                      <w:vertAlign w:val="superscript"/>
                    </w:rPr>
                    <w:t>1/2</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w:t>
                  </w:r>
                </w:p>
              </w:tc>
              <w:tc>
                <w:tcPr>
                  <w:tcW w:w="1495" w:type="dxa"/>
                  <w:gridSpan w:val="2"/>
                  <w:tcBorders>
                    <w:top w:val="single" w:color="231F20" w:sz="4" w:space="0"/>
                    <w:right w:val="nil"/>
                  </w:tcBorders>
                  <w:vAlign w:val="center"/>
                </w:tcPr>
                <w:p w14:paraId="3B80633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钻屑量S</w:t>
                  </w:r>
                </w:p>
              </w:tc>
            </w:tr>
            <w:tr w14:paraId="7376F22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1101" w:type="dxa"/>
                  <w:vMerge w:val="continue"/>
                  <w:tcBorders>
                    <w:top w:val="nil"/>
                    <w:left w:val="nil"/>
                  </w:tcBorders>
                  <w:vAlign w:val="center"/>
                </w:tcPr>
                <w:p w14:paraId="68A5814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p>
              </w:tc>
              <w:tc>
                <w:tcPr>
                  <w:tcW w:w="1656" w:type="dxa"/>
                  <w:vMerge w:val="continue"/>
                  <w:tcBorders>
                    <w:top w:val="nil"/>
                  </w:tcBorders>
                  <w:vAlign w:val="center"/>
                </w:tcPr>
                <w:p w14:paraId="6BBA067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p>
              </w:tc>
              <w:tc>
                <w:tcPr>
                  <w:tcW w:w="771" w:type="dxa"/>
                  <w:vAlign w:val="center"/>
                </w:tcPr>
                <w:p w14:paraId="6583561E">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kg/m</w:t>
                  </w:r>
                  <w:r>
                    <w:rPr>
                      <w:rFonts w:hint="eastAsia" w:ascii="仿宋_GB2312" w:hAnsi="仿宋_GB2312" w:eastAsia="仿宋_GB2312" w:cs="仿宋_GB2312"/>
                      <w:color w:val="FF0000"/>
                      <w:spacing w:val="0"/>
                      <w:sz w:val="18"/>
                      <w:szCs w:val="18"/>
                      <w:lang w:eastAsia="zh-CN"/>
                    </w:rPr>
                    <w:t>）</w:t>
                  </w:r>
                </w:p>
              </w:tc>
              <w:tc>
                <w:tcPr>
                  <w:tcW w:w="724" w:type="dxa"/>
                  <w:tcBorders>
                    <w:right w:val="nil"/>
                  </w:tcBorders>
                  <w:vAlign w:val="center"/>
                </w:tcPr>
                <w:p w14:paraId="76BFA6D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L/m</w:t>
                  </w:r>
                  <w:r>
                    <w:rPr>
                      <w:rFonts w:hint="eastAsia" w:ascii="仿宋_GB2312" w:hAnsi="仿宋_GB2312" w:eastAsia="仿宋_GB2312" w:cs="仿宋_GB2312"/>
                      <w:color w:val="FF0000"/>
                      <w:spacing w:val="0"/>
                      <w:sz w:val="18"/>
                      <w:szCs w:val="18"/>
                      <w:lang w:eastAsia="zh-CN"/>
                    </w:rPr>
                    <w:t>）</w:t>
                  </w:r>
                </w:p>
              </w:tc>
            </w:tr>
            <w:tr w14:paraId="6DABB6B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1101" w:type="dxa"/>
                  <w:tcBorders>
                    <w:left w:val="nil"/>
                    <w:bottom w:val="single" w:color="231F20" w:sz="4" w:space="0"/>
                  </w:tcBorders>
                  <w:tcMar>
                    <w:top w:w="28" w:type="dxa"/>
                    <w:left w:w="0" w:type="dxa"/>
                    <w:bottom w:w="28" w:type="dxa"/>
                    <w:right w:w="0" w:type="dxa"/>
                  </w:tcMar>
                  <w:vAlign w:val="center"/>
                </w:tcPr>
                <w:p w14:paraId="365C154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200</w:t>
                  </w:r>
                </w:p>
              </w:tc>
              <w:tc>
                <w:tcPr>
                  <w:tcW w:w="1656" w:type="dxa"/>
                  <w:tcBorders>
                    <w:bottom w:val="single" w:color="231F20" w:sz="4" w:space="0"/>
                  </w:tcBorders>
                  <w:tcMar>
                    <w:top w:w="28" w:type="dxa"/>
                    <w:left w:w="0" w:type="dxa"/>
                    <w:bottom w:w="28" w:type="dxa"/>
                    <w:right w:w="0" w:type="dxa"/>
                  </w:tcMar>
                  <w:vAlign w:val="center"/>
                </w:tcPr>
                <w:p w14:paraId="03C40B5A">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0</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5</w:t>
                  </w:r>
                </w:p>
              </w:tc>
              <w:tc>
                <w:tcPr>
                  <w:tcW w:w="771" w:type="dxa"/>
                  <w:tcBorders>
                    <w:bottom w:val="single" w:color="231F20" w:sz="4" w:space="0"/>
                  </w:tcBorders>
                  <w:vAlign w:val="center"/>
                </w:tcPr>
                <w:p w14:paraId="6C14149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6</w:t>
                  </w:r>
                </w:p>
              </w:tc>
              <w:tc>
                <w:tcPr>
                  <w:tcW w:w="724" w:type="dxa"/>
                  <w:tcBorders>
                    <w:bottom w:val="single" w:color="231F20" w:sz="4" w:space="0"/>
                    <w:right w:val="nil"/>
                  </w:tcBorders>
                  <w:vAlign w:val="center"/>
                </w:tcPr>
                <w:p w14:paraId="406B5E5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5</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4</w:t>
                  </w:r>
                </w:p>
              </w:tc>
            </w:tr>
          </w:tbl>
          <w:p w14:paraId="6D2C2DCE">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firstLine="0" w:firstLineChars="0"/>
              <w:jc w:val="center"/>
              <w:textAlignment w:val="auto"/>
              <w:rPr>
                <w:rFonts w:hint="eastAsia" w:ascii="黑体" w:hAnsi="黑体" w:eastAsia="黑体" w:cs="黑体"/>
                <w:b w:val="0"/>
                <w:bCs w:val="0"/>
                <w:color w:val="FF0000"/>
                <w:spacing w:val="0"/>
                <w:sz w:val="18"/>
                <w:szCs w:val="18"/>
                <w:lang w:val="en-US" w:eastAsia="zh-CN"/>
              </w:rPr>
            </w:pPr>
            <w:r>
              <w:rPr>
                <w:rFonts w:hint="eastAsia" w:ascii="黑体" w:hAnsi="黑体" w:eastAsia="黑体" w:cs="黑体"/>
                <w:b w:val="0"/>
                <w:bCs w:val="0"/>
                <w:color w:val="FF0000"/>
                <w:spacing w:val="0"/>
                <w:sz w:val="18"/>
                <w:szCs w:val="18"/>
                <w:lang w:val="en-US" w:eastAsia="zh-CN"/>
              </w:rPr>
              <w:t>表7 复合指标法预测煤巷掘进工作面突出危险性的参考临界值</w:t>
            </w:r>
          </w:p>
          <w:tbl>
            <w:tblPr>
              <w:tblStyle w:val="9"/>
              <w:tblW w:w="4252" w:type="dxa"/>
              <w:jc w:val="center"/>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Layout w:type="fixed"/>
              <w:tblCellMar>
                <w:top w:w="0" w:type="dxa"/>
                <w:left w:w="0" w:type="dxa"/>
                <w:bottom w:w="0" w:type="dxa"/>
                <w:right w:w="0" w:type="dxa"/>
              </w:tblCellMar>
            </w:tblPr>
            <w:tblGrid>
              <w:gridCol w:w="1730"/>
              <w:gridCol w:w="1261"/>
              <w:gridCol w:w="1261"/>
            </w:tblGrid>
            <w:tr w14:paraId="147753E2">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3458" w:type="dxa"/>
                  <w:vMerge w:val="restart"/>
                  <w:tcBorders>
                    <w:top w:val="single" w:color="231F20" w:sz="4" w:space="0"/>
                    <w:left w:val="nil"/>
                    <w:bottom w:val="nil"/>
                  </w:tcBorders>
                  <w:vAlign w:val="center"/>
                </w:tcPr>
                <w:p w14:paraId="747FB058">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钻孔瓦斯涌出初速度</w:t>
                  </w:r>
                </w:p>
                <w:p w14:paraId="05FFD93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i/>
                      <w:iCs/>
                      <w:color w:val="FF0000"/>
                      <w:spacing w:val="0"/>
                      <w:sz w:val="18"/>
                      <w:szCs w:val="18"/>
                    </w:rPr>
                    <w:t>q</w:t>
                  </w: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L/min</w:t>
                  </w:r>
                  <w:r>
                    <w:rPr>
                      <w:rFonts w:hint="eastAsia" w:ascii="仿宋_GB2312" w:hAnsi="仿宋_GB2312" w:eastAsia="仿宋_GB2312" w:cs="仿宋_GB2312"/>
                      <w:color w:val="FF0000"/>
                      <w:spacing w:val="0"/>
                      <w:sz w:val="18"/>
                      <w:szCs w:val="18"/>
                      <w:lang w:eastAsia="zh-CN"/>
                    </w:rPr>
                    <w:t>）</w:t>
                  </w:r>
                </w:p>
              </w:tc>
              <w:tc>
                <w:tcPr>
                  <w:tcW w:w="5031" w:type="dxa"/>
                  <w:gridSpan w:val="2"/>
                  <w:tcBorders>
                    <w:top w:val="single" w:color="231F20" w:sz="4" w:space="0"/>
                    <w:right w:val="nil"/>
                  </w:tcBorders>
                  <w:vAlign w:val="center"/>
                </w:tcPr>
                <w:p w14:paraId="1D8DB56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钻屑量S</w:t>
                  </w:r>
                </w:p>
              </w:tc>
            </w:tr>
            <w:tr w14:paraId="2DE6BDC9">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3458" w:type="dxa"/>
                  <w:vMerge w:val="continue"/>
                  <w:tcBorders>
                    <w:top w:val="nil"/>
                    <w:left w:val="nil"/>
                  </w:tcBorders>
                  <w:vAlign w:val="center"/>
                </w:tcPr>
                <w:p w14:paraId="21D5F18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p>
              </w:tc>
              <w:tc>
                <w:tcPr>
                  <w:tcW w:w="2515" w:type="dxa"/>
                  <w:vAlign w:val="center"/>
                </w:tcPr>
                <w:p w14:paraId="0716504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kg/m</w:t>
                  </w:r>
                  <w:r>
                    <w:rPr>
                      <w:rFonts w:hint="eastAsia" w:ascii="仿宋_GB2312" w:hAnsi="仿宋_GB2312" w:eastAsia="仿宋_GB2312" w:cs="仿宋_GB2312"/>
                      <w:color w:val="FF0000"/>
                      <w:spacing w:val="0"/>
                      <w:sz w:val="18"/>
                      <w:szCs w:val="18"/>
                      <w:lang w:eastAsia="zh-CN"/>
                    </w:rPr>
                    <w:t>）</w:t>
                  </w:r>
                </w:p>
              </w:tc>
              <w:tc>
                <w:tcPr>
                  <w:tcW w:w="2516" w:type="dxa"/>
                  <w:tcBorders>
                    <w:right w:val="nil"/>
                  </w:tcBorders>
                  <w:vAlign w:val="center"/>
                </w:tcPr>
                <w:p w14:paraId="5841358C">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lang w:eastAsia="zh-CN"/>
                    </w:rPr>
                  </w:pPr>
                  <w:r>
                    <w:rPr>
                      <w:rFonts w:hint="eastAsia" w:ascii="仿宋_GB2312" w:hAnsi="仿宋_GB2312" w:eastAsia="仿宋_GB2312" w:cs="仿宋_GB2312"/>
                      <w:color w:val="FF0000"/>
                      <w:spacing w:val="0"/>
                      <w:sz w:val="18"/>
                      <w:szCs w:val="18"/>
                      <w:lang w:eastAsia="zh-CN"/>
                    </w:rPr>
                    <w:t>（</w:t>
                  </w:r>
                  <w:r>
                    <w:rPr>
                      <w:rFonts w:hint="eastAsia" w:ascii="仿宋_GB2312" w:hAnsi="仿宋_GB2312" w:eastAsia="仿宋_GB2312" w:cs="仿宋_GB2312"/>
                      <w:color w:val="FF0000"/>
                      <w:spacing w:val="0"/>
                      <w:sz w:val="18"/>
                      <w:szCs w:val="18"/>
                    </w:rPr>
                    <w:t>L/m</w:t>
                  </w:r>
                  <w:r>
                    <w:rPr>
                      <w:rFonts w:hint="eastAsia" w:ascii="仿宋_GB2312" w:hAnsi="仿宋_GB2312" w:eastAsia="仿宋_GB2312" w:cs="仿宋_GB2312"/>
                      <w:color w:val="FF0000"/>
                      <w:spacing w:val="0"/>
                      <w:sz w:val="18"/>
                      <w:szCs w:val="18"/>
                      <w:lang w:eastAsia="zh-CN"/>
                    </w:rPr>
                    <w:t>）</w:t>
                  </w:r>
                </w:p>
              </w:tc>
            </w:tr>
            <w:tr w14:paraId="4474BA8D">
              <w:tblPrEx>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CellMar>
                  <w:top w:w="0" w:type="dxa"/>
                  <w:left w:w="0" w:type="dxa"/>
                  <w:bottom w:w="0" w:type="dxa"/>
                  <w:right w:w="0" w:type="dxa"/>
                </w:tblCellMar>
              </w:tblPrEx>
              <w:trPr>
                <w:trHeight w:val="255" w:hRule="atLeast"/>
                <w:jc w:val="center"/>
              </w:trPr>
              <w:tc>
                <w:tcPr>
                  <w:tcW w:w="3458" w:type="dxa"/>
                  <w:tcBorders>
                    <w:left w:val="nil"/>
                    <w:bottom w:val="single" w:color="231F20" w:sz="4" w:space="0"/>
                  </w:tcBorders>
                  <w:tcMar>
                    <w:top w:w="28" w:type="dxa"/>
                    <w:left w:w="0" w:type="dxa"/>
                    <w:bottom w:w="28" w:type="dxa"/>
                    <w:right w:w="0" w:type="dxa"/>
                  </w:tcMar>
                  <w:vAlign w:val="center"/>
                </w:tcPr>
                <w:p w14:paraId="0458B54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5</w:t>
                  </w:r>
                </w:p>
              </w:tc>
              <w:tc>
                <w:tcPr>
                  <w:tcW w:w="2515" w:type="dxa"/>
                  <w:tcBorders>
                    <w:bottom w:val="single" w:color="231F20" w:sz="4" w:space="0"/>
                  </w:tcBorders>
                  <w:tcMar>
                    <w:top w:w="28" w:type="dxa"/>
                    <w:left w:w="0" w:type="dxa"/>
                    <w:bottom w:w="28" w:type="dxa"/>
                    <w:right w:w="0" w:type="dxa"/>
                  </w:tcMar>
                  <w:vAlign w:val="center"/>
                </w:tcPr>
                <w:p w14:paraId="40233513">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6</w:t>
                  </w:r>
                </w:p>
              </w:tc>
              <w:tc>
                <w:tcPr>
                  <w:tcW w:w="2516" w:type="dxa"/>
                  <w:tcBorders>
                    <w:bottom w:val="single" w:color="231F20" w:sz="4" w:space="0"/>
                    <w:right w:val="nil"/>
                  </w:tcBorders>
                  <w:tcMar>
                    <w:top w:w="28" w:type="dxa"/>
                    <w:left w:w="0" w:type="dxa"/>
                    <w:bottom w:w="28" w:type="dxa"/>
                    <w:right w:w="0" w:type="dxa"/>
                  </w:tcMar>
                  <w:vAlign w:val="center"/>
                </w:tcPr>
                <w:p w14:paraId="3AF046E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baseline"/>
                    <w:rPr>
                      <w:rFonts w:hint="eastAsia" w:ascii="仿宋_GB2312" w:hAnsi="仿宋_GB2312" w:eastAsia="仿宋_GB2312" w:cs="仿宋_GB2312"/>
                      <w:color w:val="FF0000"/>
                      <w:spacing w:val="0"/>
                      <w:sz w:val="18"/>
                      <w:szCs w:val="18"/>
                    </w:rPr>
                  </w:pPr>
                  <w:r>
                    <w:rPr>
                      <w:rFonts w:hint="eastAsia" w:ascii="仿宋_GB2312" w:hAnsi="仿宋_GB2312" w:eastAsia="仿宋_GB2312" w:cs="仿宋_GB2312"/>
                      <w:color w:val="FF0000"/>
                      <w:spacing w:val="0"/>
                      <w:sz w:val="18"/>
                      <w:szCs w:val="18"/>
                    </w:rPr>
                    <w:t>5</w:t>
                  </w:r>
                  <w:r>
                    <w:rPr>
                      <w:rFonts w:hint="eastAsia" w:ascii="仿宋_GB2312" w:hAnsi="仿宋_GB2312" w:eastAsia="仿宋_GB2312" w:cs="仿宋_GB2312"/>
                      <w:color w:val="FF0000"/>
                      <w:spacing w:val="0"/>
                      <w:sz w:val="18"/>
                      <w:szCs w:val="18"/>
                      <w:lang w:val="en-US" w:eastAsia="zh-CN"/>
                    </w:rPr>
                    <w:t>.</w:t>
                  </w:r>
                  <w:r>
                    <w:rPr>
                      <w:rFonts w:hint="eastAsia" w:ascii="仿宋_GB2312" w:hAnsi="仿宋_GB2312" w:eastAsia="仿宋_GB2312" w:cs="仿宋_GB2312"/>
                      <w:color w:val="FF0000"/>
                      <w:spacing w:val="0"/>
                      <w:sz w:val="18"/>
                      <w:szCs w:val="18"/>
                    </w:rPr>
                    <w:t>4</w:t>
                  </w:r>
                </w:p>
              </w:tc>
            </w:tr>
          </w:tbl>
          <w:p w14:paraId="74E8D3A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3</w:t>
            </w:r>
            <w:r>
              <w:rPr>
                <w:rFonts w:hint="eastAsia" w:ascii="仿宋_GB2312" w:hAnsi="仿宋_GB2312" w:eastAsia="仿宋_GB2312" w:cs="仿宋_GB2312"/>
                <w:spacing w:val="0"/>
                <w:sz w:val="21"/>
                <w:szCs w:val="21"/>
                <w:lang w:val="en-US" w:eastAsia="zh-CN"/>
              </w:rPr>
              <w:t>.</w:t>
            </w:r>
            <w:r>
              <w:rPr>
                <w:rFonts w:hint="eastAsia" w:ascii="黑体" w:hAnsi="黑体" w:eastAsia="黑体" w:cs="黑体"/>
                <w:b/>
                <w:bCs/>
                <w:color w:val="009C46"/>
                <w:spacing w:val="0"/>
                <w:sz w:val="21"/>
                <w:szCs w:val="21"/>
              </w:rPr>
              <w:t>残余瓦斯含量、残余瓦斯压力、钻屑量、钻屑瓦斯解吸指标、钻孔瓦斯涌出初速度数据</w:t>
            </w:r>
            <w:r>
              <w:rPr>
                <w:rFonts w:hint="eastAsia" w:ascii="黑体" w:hAnsi="黑体" w:eastAsia="黑体" w:cs="黑体"/>
                <w:b/>
                <w:bCs/>
                <w:color w:val="009C46"/>
                <w:spacing w:val="0"/>
                <w:sz w:val="21"/>
                <w:szCs w:val="21"/>
                <w:vertAlign w:val="superscript"/>
                <w:lang w:val="en-US" w:eastAsia="zh-CN"/>
              </w:rPr>
              <w:t>②</w:t>
            </w:r>
            <w:r>
              <w:rPr>
                <w:rFonts w:hint="eastAsia" w:ascii="黑体" w:hAnsi="黑体" w:eastAsia="黑体" w:cs="黑体"/>
                <w:b w:val="0"/>
                <w:bCs/>
                <w:color w:val="FF0000"/>
                <w:spacing w:val="0"/>
                <w:sz w:val="21"/>
                <w:szCs w:val="21"/>
              </w:rPr>
              <w:t>人为</w:t>
            </w:r>
            <w:r>
              <w:rPr>
                <w:rFonts w:hint="eastAsia" w:ascii="仿宋_GB2312" w:hAnsi="仿宋_GB2312" w:eastAsia="仿宋_GB2312" w:cs="仿宋_GB2312"/>
                <w:spacing w:val="0"/>
                <w:sz w:val="21"/>
                <w:szCs w:val="21"/>
              </w:rPr>
              <w:t>造假</w:t>
            </w:r>
            <w:r>
              <w:rPr>
                <w:rFonts w:hint="eastAsia" w:ascii="仿宋_GB2312" w:hAnsi="仿宋_GB2312" w:eastAsia="仿宋_GB2312" w:cs="仿宋_GB2312"/>
                <w:spacing w:val="0"/>
                <w:sz w:val="21"/>
                <w:szCs w:val="21"/>
                <w:lang w:eastAsia="zh-CN"/>
              </w:rPr>
              <w:t>。</w:t>
            </w:r>
          </w:p>
        </w:tc>
      </w:tr>
      <w:tr w14:paraId="0D8D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7DE606C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3D8836B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w:t>
            </w:r>
            <w:r>
              <w:rPr>
                <w:rFonts w:hint="eastAsia" w:ascii="黑体" w:hAnsi="黑体" w:eastAsia="黑体" w:cs="黑体"/>
                <w:b w:val="0"/>
                <w:bCs/>
                <w:color w:val="FF0000"/>
                <w:spacing w:val="0"/>
                <w:sz w:val="21"/>
                <w:szCs w:val="21"/>
              </w:rPr>
              <w:t>在采掘生产、实施防突措施、防突措施效果检验和验证过程中,发现有喷孔、顶钻等明显突出预兆时,未补充采取防突措施继续作业。</w:t>
            </w:r>
          </w:p>
        </w:tc>
      </w:tr>
      <w:tr w14:paraId="1660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F706AF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w:t>
            </w:r>
            <w:r>
              <w:rPr>
                <w:rFonts w:hint="eastAsia" w:ascii="黑体" w:hAnsi="黑体" w:eastAsia="黑体" w:cs="黑体"/>
                <w:b/>
                <w:bCs/>
                <w:color w:val="009C46"/>
                <w:spacing w:val="0"/>
                <w:sz w:val="21"/>
                <w:szCs w:val="21"/>
              </w:rPr>
              <w:t>未按照国家规定采取</w:t>
            </w:r>
            <w:r>
              <w:rPr>
                <w:rFonts w:hint="eastAsia" w:ascii="仿宋_GB2312" w:hAnsi="仿宋_GB2312" w:eastAsia="仿宋_GB2312" w:cs="仿宋_GB2312"/>
                <w:spacing w:val="0"/>
                <w:sz w:val="21"/>
                <w:szCs w:val="21"/>
              </w:rPr>
              <w:t>安全防护措施的；</w:t>
            </w:r>
          </w:p>
          <w:p w14:paraId="504BE16E">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*列明5项突出煤层采掘作业具体防护措施</w:t>
            </w:r>
          </w:p>
        </w:tc>
        <w:tc>
          <w:tcPr>
            <w:tcW w:w="4501" w:type="dxa"/>
            <w:tcMar>
              <w:top w:w="57" w:type="dxa"/>
              <w:left w:w="57" w:type="dxa"/>
              <w:bottom w:w="57" w:type="dxa"/>
              <w:right w:w="57" w:type="dxa"/>
            </w:tcMar>
            <w:vAlign w:val="top"/>
          </w:tcPr>
          <w:p w14:paraId="163FB1B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w:t>
            </w:r>
            <w:r>
              <w:rPr>
                <w:rFonts w:hint="eastAsia" w:ascii="黑体" w:hAnsi="黑体" w:eastAsia="黑体" w:cs="黑体"/>
                <w:b w:val="0"/>
                <w:bCs/>
                <w:color w:val="FF0000"/>
                <w:spacing w:val="0"/>
                <w:sz w:val="21"/>
                <w:szCs w:val="21"/>
              </w:rPr>
              <w:t>井巷揭穿突出煤层和在突出煤层中进行采掘作业时,</w:t>
            </w:r>
            <w:r>
              <w:rPr>
                <w:rFonts w:hint="eastAsia" w:ascii="黑体" w:hAnsi="黑体" w:eastAsia="黑体" w:cs="黑体"/>
                <w:b/>
                <w:bCs/>
                <w:color w:val="009C46"/>
                <w:spacing w:val="0"/>
                <w:sz w:val="21"/>
                <w:szCs w:val="21"/>
              </w:rPr>
              <w:t>未</w:t>
            </w:r>
            <w:r>
              <w:rPr>
                <w:rFonts w:hint="eastAsia" w:ascii="仿宋_GB2312" w:hAnsi="仿宋_GB2312" w:eastAsia="仿宋_GB2312" w:cs="仿宋_GB2312"/>
                <w:spacing w:val="0"/>
                <w:sz w:val="21"/>
                <w:szCs w:val="21"/>
              </w:rPr>
              <w:t>采取</w:t>
            </w:r>
            <w:r>
              <w:rPr>
                <w:rFonts w:hint="eastAsia" w:ascii="黑体" w:hAnsi="黑体" w:eastAsia="黑体" w:cs="黑体"/>
                <w:b/>
                <w:bCs/>
                <w:color w:val="009C46"/>
                <w:spacing w:val="0"/>
                <w:sz w:val="21"/>
                <w:szCs w:val="21"/>
              </w:rPr>
              <w:t>避难硐室、反向风门、压风自救装置、隔绝式自救器、远距离爆破</w:t>
            </w:r>
            <w:r>
              <w:rPr>
                <w:rFonts w:hint="eastAsia" w:ascii="仿宋_GB2312" w:hAnsi="仿宋_GB2312" w:eastAsia="仿宋_GB2312" w:cs="仿宋_GB2312"/>
                <w:spacing w:val="0"/>
                <w:sz w:val="21"/>
                <w:szCs w:val="21"/>
              </w:rPr>
              <w:t>安全防护措施。</w:t>
            </w:r>
          </w:p>
        </w:tc>
      </w:tr>
      <w:tr w14:paraId="5CD10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2074F38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（七）使用架线式电机车的。</w:t>
            </w:r>
          </w:p>
        </w:tc>
        <w:tc>
          <w:tcPr>
            <w:tcW w:w="4501" w:type="dxa"/>
            <w:shd w:val="clear" w:color="auto" w:fill="auto"/>
            <w:tcMar>
              <w:top w:w="57" w:type="dxa"/>
              <w:left w:w="57" w:type="dxa"/>
              <w:bottom w:w="57" w:type="dxa"/>
              <w:right w:w="57" w:type="dxa"/>
            </w:tcMar>
            <w:vAlign w:val="center"/>
          </w:tcPr>
          <w:p w14:paraId="6BDBFCF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0351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062D3B1E">
            <w:pPr>
              <w:keepNext w:val="0"/>
              <w:keepLines w:val="0"/>
              <w:pageBreakBefore w:val="0"/>
              <w:widowControl w:val="0"/>
              <w:kinsoku/>
              <w:wordWrap/>
              <w:overflowPunct/>
              <w:topLinePunct w:val="0"/>
              <w:autoSpaceDE w:val="0"/>
              <w:autoSpaceDN w:val="0"/>
              <w:bidi w:val="0"/>
              <w:adjustRightInd w:val="0"/>
              <w:snapToGrid w:val="0"/>
              <w:spacing w:line="280" w:lineRule="exact"/>
              <w:jc w:val="both"/>
              <w:textAlignment w:val="baseline"/>
              <w:rPr>
                <w:rFonts w:hint="eastAsia" w:ascii="黑体" w:hAnsi="黑体" w:eastAsia="黑体" w:cs="黑体"/>
                <w:b w:val="0"/>
                <w:bCs/>
                <w:color w:val="auto"/>
                <w:spacing w:val="0"/>
                <w:sz w:val="21"/>
                <w:szCs w:val="21"/>
                <w:highlight w:val="none"/>
              </w:rPr>
            </w:pPr>
            <w:r>
              <w:rPr>
                <w:rFonts w:hint="eastAsia" w:ascii="黑体" w:hAnsi="黑体" w:eastAsia="黑体" w:cs="黑体"/>
                <w:b w:val="0"/>
                <w:bCs/>
                <w:color w:val="auto"/>
                <w:spacing w:val="0"/>
                <w:sz w:val="21"/>
                <w:szCs w:val="21"/>
                <w:highlight w:val="none"/>
              </w:rPr>
              <w:t>第</w:t>
            </w:r>
            <w:r>
              <w:rPr>
                <w:rFonts w:hint="eastAsia" w:ascii="黑体" w:hAnsi="黑体" w:eastAsia="黑体" w:cs="黑体"/>
                <w:b w:val="0"/>
                <w:bCs/>
                <w:color w:val="auto"/>
                <w:spacing w:val="0"/>
                <w:sz w:val="21"/>
                <w:szCs w:val="21"/>
                <w:highlight w:val="none"/>
                <w:lang w:val="en-US" w:eastAsia="zh-CN"/>
              </w:rPr>
              <w:t>七</w:t>
            </w:r>
            <w:r>
              <w:rPr>
                <w:rFonts w:hint="eastAsia" w:ascii="黑体" w:hAnsi="黑体" w:eastAsia="黑体" w:cs="黑体"/>
                <w:b w:val="0"/>
                <w:bCs/>
                <w:color w:val="auto"/>
                <w:spacing w:val="0"/>
                <w:sz w:val="21"/>
                <w:szCs w:val="21"/>
                <w:highlight w:val="none"/>
              </w:rPr>
              <w:t>条</w:t>
            </w:r>
            <w:r>
              <w:rPr>
                <w:rFonts w:hint="eastAsia" w:ascii="黑体" w:hAnsi="黑体" w:eastAsia="黑体" w:cs="黑体"/>
                <w:b w:val="0"/>
                <w:bCs/>
                <w:color w:val="auto"/>
                <w:spacing w:val="0"/>
                <w:sz w:val="21"/>
                <w:szCs w:val="21"/>
                <w:highlight w:val="none"/>
                <w:lang w:val="en-US" w:eastAsia="zh-CN"/>
              </w:rPr>
              <w:t xml:space="preserve"> </w:t>
            </w:r>
            <w:r>
              <w:rPr>
                <w:rFonts w:hint="eastAsia" w:ascii="黑体" w:hAnsi="黑体" w:eastAsia="黑体" w:cs="黑体"/>
                <w:b w:val="0"/>
                <w:bCs/>
                <w:spacing w:val="0"/>
                <w:sz w:val="21"/>
                <w:szCs w:val="21"/>
                <w:lang w:eastAsia="zh-CN"/>
              </w:rPr>
              <w:t>“</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val="0"/>
                <w:color w:val="FF0000"/>
                <w:spacing w:val="0"/>
                <w:sz w:val="21"/>
                <w:szCs w:val="21"/>
                <w:lang w:val="en-US" w:eastAsia="zh-CN"/>
              </w:rPr>
              <w:t>煤（岩）与瓦斯（二氧化碳）突出矿井、</w:t>
            </w:r>
            <w:r>
              <w:rPr>
                <w:rFonts w:hint="eastAsia" w:ascii="黑体" w:hAnsi="黑体" w:eastAsia="黑体" w:cs="黑体"/>
                <w:b w:val="0"/>
                <w:bCs/>
                <w:spacing w:val="0"/>
                <w:sz w:val="21"/>
                <w:szCs w:val="21"/>
                <w:lang w:val="en-US" w:eastAsia="zh-CN"/>
              </w:rPr>
              <w:t>高瓦斯矿井未按照规定建立瓦斯抽采系统</w:t>
            </w:r>
            <w:r>
              <w:rPr>
                <w:rFonts w:hint="eastAsia" w:ascii="黑体" w:hAnsi="黑体" w:eastAsia="黑体" w:cs="黑体"/>
                <w:strike/>
                <w:dstrike w:val="0"/>
                <w:color w:val="0000FF"/>
                <w:spacing w:val="0"/>
                <w:sz w:val="21"/>
                <w:szCs w:val="21"/>
                <w:lang w:eastAsia="zh-CN"/>
              </w:rPr>
              <w:t>和监控系统</w:t>
            </w:r>
            <w:r>
              <w:rPr>
                <w:rFonts w:hint="eastAsia" w:ascii="黑体" w:hAnsi="黑体" w:eastAsia="黑体" w:cs="黑体"/>
                <w:b w:val="0"/>
                <w:bCs/>
                <w:spacing w:val="0"/>
                <w:sz w:val="21"/>
                <w:szCs w:val="21"/>
                <w:lang w:val="en-US" w:eastAsia="zh-CN"/>
              </w:rPr>
              <w:t>,或者系统不能正常运行</w:t>
            </w:r>
            <w:r>
              <w:rPr>
                <w:rFonts w:hint="eastAsia" w:ascii="黑体" w:hAnsi="黑体" w:eastAsia="黑体" w:cs="黑体"/>
                <w:b w:val="0"/>
                <w:bCs/>
                <w:spacing w:val="0"/>
                <w:sz w:val="21"/>
                <w:szCs w:val="21"/>
                <w:lang w:eastAsia="zh-CN"/>
              </w:rPr>
              <w:t>”</w:t>
            </w:r>
            <w:r>
              <w:rPr>
                <w:rFonts w:hint="eastAsia" w:ascii="黑体" w:hAnsi="黑体" w:eastAsia="黑体" w:cs="黑体"/>
                <w:b w:val="0"/>
                <w:bCs/>
                <w:spacing w:val="0"/>
                <w:sz w:val="21"/>
                <w:szCs w:val="21"/>
                <w:lang w:val="en-US" w:eastAsia="zh-CN"/>
              </w:rPr>
              <w:t>重大事故隐患,是指有下列情形之一的:</w:t>
            </w:r>
          </w:p>
        </w:tc>
      </w:tr>
      <w:tr w14:paraId="5ACE9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4CD813A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（一）按照《煤矿安全规程》规定</w:t>
            </w:r>
            <w:r>
              <w:rPr>
                <w:rFonts w:hint="eastAsia" w:ascii="黑体" w:hAnsi="黑体" w:eastAsia="黑体" w:cs="黑体"/>
                <w:strike/>
                <w:dstrike w:val="0"/>
                <w:color w:val="0000FF"/>
                <w:spacing w:val="0"/>
                <w:sz w:val="21"/>
                <w:szCs w:val="21"/>
              </w:rPr>
              <w:t>应当建立而</w:t>
            </w:r>
            <w:r>
              <w:rPr>
                <w:rFonts w:hint="eastAsia" w:ascii="仿宋_GB2312" w:hAnsi="仿宋_GB2312" w:eastAsia="仿宋_GB2312" w:cs="仿宋_GB2312"/>
                <w:spacing w:val="0"/>
                <w:sz w:val="21"/>
                <w:szCs w:val="21"/>
              </w:rPr>
              <w:t>未建立瓦斯抽采系统或者系统不正常使用的；</w:t>
            </w:r>
          </w:p>
        </w:tc>
        <w:tc>
          <w:tcPr>
            <w:tcW w:w="4501" w:type="dxa"/>
            <w:tcMar>
              <w:top w:w="57" w:type="dxa"/>
              <w:left w:w="57" w:type="dxa"/>
              <w:bottom w:w="57" w:type="dxa"/>
              <w:right w:w="57" w:type="dxa"/>
            </w:tcMar>
            <w:vAlign w:val="top"/>
          </w:tcPr>
          <w:p w14:paraId="54218E0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生产矿井、建设矿井建井期间</w:t>
            </w:r>
            <w:r>
              <w:rPr>
                <w:rFonts w:hint="eastAsia" w:ascii="仿宋_GB2312" w:hAnsi="仿宋_GB2312" w:eastAsia="仿宋_GB2312" w:cs="仿宋_GB2312"/>
                <w:spacing w:val="0"/>
                <w:sz w:val="21"/>
                <w:szCs w:val="21"/>
              </w:rPr>
              <w:t>未按照《煤矿安全规程》规定建立瓦斯抽采系统</w:t>
            </w:r>
            <w:r>
              <w:rPr>
                <w:rFonts w:hint="eastAsia" w:ascii="仿宋_GB2312" w:hAnsi="仿宋_GB2312" w:eastAsia="仿宋_GB2312" w:cs="仿宋_GB2312"/>
                <w:spacing w:val="0"/>
                <w:sz w:val="21"/>
                <w:szCs w:val="21"/>
                <w:lang w:eastAsia="zh-CN"/>
              </w:rPr>
              <w:t>。</w:t>
            </w:r>
          </w:p>
        </w:tc>
      </w:tr>
      <w:tr w14:paraId="6987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43BE878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center"/>
          </w:tcPr>
          <w:p w14:paraId="6FA55BD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瓦斯抽采系统不能正常运行</w:t>
            </w:r>
            <w:r>
              <w:rPr>
                <w:rFonts w:hint="eastAsia" w:ascii="仿宋_GB2312" w:hAnsi="仿宋_GB2312" w:eastAsia="仿宋_GB2312" w:cs="仿宋_GB2312"/>
                <w:spacing w:val="0"/>
                <w:sz w:val="21"/>
                <w:szCs w:val="21"/>
                <w:lang w:eastAsia="zh-CN"/>
              </w:rPr>
              <w:t>。</w:t>
            </w:r>
          </w:p>
        </w:tc>
      </w:tr>
      <w:tr w14:paraId="1CE28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25E1300D">
            <w:pPr>
              <w:pStyle w:val="11"/>
              <w:keepNext w:val="0"/>
              <w:keepLines w:val="0"/>
              <w:pageBreakBefore w:val="0"/>
              <w:widowControl w:val="0"/>
              <w:kinsoku/>
              <w:wordWrap/>
              <w:overflowPunct/>
              <w:topLinePunct w:val="0"/>
              <w:autoSpaceDE w:val="0"/>
              <w:autoSpaceDN w:val="0"/>
              <w:bidi w:val="0"/>
              <w:adjustRightInd/>
              <w:snapToGrid/>
              <w:spacing w:before="0" w:line="26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highlight w:val="yellow"/>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6E122F5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lang w:val="en-US" w:eastAsia="zh-CN"/>
              </w:rPr>
            </w:pP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三</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地面抽采瓦斯泵无备用泵或者备用泵能力小于运行泵中最大一台单泵能力</w:t>
            </w:r>
            <w:r>
              <w:rPr>
                <w:rFonts w:hint="eastAsia" w:ascii="黑体" w:hAnsi="黑体" w:eastAsia="黑体" w:cs="黑体"/>
                <w:b w:val="0"/>
                <w:bCs/>
                <w:color w:val="FF0000"/>
                <w:spacing w:val="0"/>
                <w:sz w:val="21"/>
                <w:szCs w:val="21"/>
                <w:lang w:eastAsia="zh-CN"/>
              </w:rPr>
              <w:t>。</w:t>
            </w:r>
          </w:p>
        </w:tc>
      </w:tr>
      <w:tr w14:paraId="7F31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6F8446E5">
            <w:pPr>
              <w:pStyle w:val="11"/>
              <w:keepNext w:val="0"/>
              <w:keepLines w:val="0"/>
              <w:pageBreakBefore w:val="0"/>
              <w:widowControl w:val="0"/>
              <w:kinsoku/>
              <w:wordWrap/>
              <w:overflowPunct/>
              <w:topLinePunct w:val="0"/>
              <w:autoSpaceDE w:val="0"/>
              <w:autoSpaceDN w:val="0"/>
              <w:bidi w:val="0"/>
              <w:adjustRightInd/>
              <w:snapToGrid/>
              <w:spacing w:before="0" w:line="26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highlight w:val="yellow"/>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50B829E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lang w:val="en-US" w:eastAsia="zh-CN"/>
              </w:rPr>
            </w:pP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四</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抽采瓦斯运行泵的装机能力小于瓦斯抽采达标时应抽采瓦斯量对应工况流量2倍</w:t>
            </w:r>
            <w:r>
              <w:rPr>
                <w:rFonts w:hint="eastAsia" w:ascii="黑体" w:hAnsi="黑体" w:eastAsia="黑体" w:cs="黑体"/>
                <w:b w:val="0"/>
                <w:bCs/>
                <w:color w:val="FF0000"/>
                <w:spacing w:val="0"/>
                <w:sz w:val="21"/>
                <w:szCs w:val="21"/>
                <w:lang w:eastAsia="zh-CN"/>
              </w:rPr>
              <w:t>。</w:t>
            </w:r>
          </w:p>
        </w:tc>
      </w:tr>
      <w:tr w14:paraId="2BCF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72A31350">
            <w:pPr>
              <w:pStyle w:val="11"/>
              <w:keepNext w:val="0"/>
              <w:keepLines w:val="0"/>
              <w:pageBreakBefore w:val="0"/>
              <w:widowControl w:val="0"/>
              <w:kinsoku/>
              <w:wordWrap/>
              <w:overflowPunct/>
              <w:topLinePunct w:val="0"/>
              <w:autoSpaceDE w:val="0"/>
              <w:autoSpaceDN w:val="0"/>
              <w:bidi w:val="0"/>
              <w:adjustRightInd/>
              <w:snapToGrid/>
              <w:spacing w:before="0" w:line="26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highlight w:val="yellow"/>
                <w:lang w:val="en-US" w:eastAsia="zh-CN"/>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72F04E0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lang w:val="en-US" w:eastAsia="zh-CN"/>
              </w:rPr>
            </w:pP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五</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干式抽采瓦斯泵吸气侧管路系统中未装设有防回火、防回流和防爆炸作用安全装置</w:t>
            </w:r>
            <w:r>
              <w:rPr>
                <w:rFonts w:hint="eastAsia" w:ascii="黑体" w:hAnsi="黑体" w:eastAsia="黑体" w:cs="黑体"/>
                <w:b w:val="0"/>
                <w:bCs/>
                <w:color w:val="FF0000"/>
                <w:spacing w:val="0"/>
                <w:sz w:val="21"/>
                <w:szCs w:val="21"/>
                <w:lang w:eastAsia="zh-CN"/>
              </w:rPr>
              <w:t>。</w:t>
            </w:r>
          </w:p>
        </w:tc>
      </w:tr>
      <w:tr w14:paraId="0DC2E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65F946D9">
            <w:pPr>
              <w:pStyle w:val="11"/>
              <w:keepNext w:val="0"/>
              <w:keepLines w:val="0"/>
              <w:pageBreakBefore w:val="0"/>
              <w:widowControl w:val="0"/>
              <w:kinsoku/>
              <w:wordWrap/>
              <w:overflowPunct/>
              <w:topLinePunct w:val="0"/>
              <w:autoSpaceDE w:val="0"/>
              <w:autoSpaceDN w:val="0"/>
              <w:bidi w:val="0"/>
              <w:adjustRightInd/>
              <w:snapToGrid/>
              <w:spacing w:before="0" w:line="26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color w:val="808080" w:themeColor="text1" w:themeTint="80"/>
                <w:spacing w:val="0"/>
                <w:sz w:val="18"/>
                <w:szCs w:val="18"/>
                <w:highlight w:val="none"/>
                <w14:textFill>
                  <w14:solidFill>
                    <w14:schemeClr w14:val="tx1">
                      <w14:lumMod w14:val="50000"/>
                      <w14:lumOff w14:val="50000"/>
                    </w14:schemeClr>
                  </w14:solidFill>
                </w14:textFill>
              </w:rPr>
              <w:t>（二）未按照国家规定安设、调校甲烷传感器，人为造成甲烷传感器失效，或者瓦斯超限后不能报警、断电或者断电范围不符合国家规定的。</w:t>
            </w:r>
          </w:p>
        </w:tc>
        <w:tc>
          <w:tcPr>
            <w:tcW w:w="4501" w:type="dxa"/>
            <w:tcMar>
              <w:top w:w="57" w:type="dxa"/>
              <w:left w:w="57" w:type="dxa"/>
              <w:bottom w:w="57" w:type="dxa"/>
              <w:right w:w="57" w:type="dxa"/>
            </w:tcMar>
            <w:vAlign w:val="center"/>
          </w:tcPr>
          <w:p w14:paraId="7092E91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调整至第十四条第（三</w:t>
            </w:r>
            <w:r>
              <w:rPr>
                <w:rFonts w:hint="eastAsia" w:ascii="黑体" w:hAnsi="黑体" w:eastAsia="黑体" w:cs="黑体"/>
                <w:b/>
                <w:bCs/>
                <w:color w:val="E46C0A" w:themeColor="accent6" w:themeShade="BF"/>
                <w:spacing w:val="0"/>
                <w:sz w:val="18"/>
                <w:szCs w:val="18"/>
              </w:rPr>
              <w:t>）</w:t>
            </w:r>
            <w:r>
              <w:rPr>
                <w:rFonts w:hint="eastAsia" w:ascii="黑体" w:hAnsi="黑体" w:eastAsia="黑体" w:cs="黑体"/>
                <w:b/>
                <w:bCs/>
                <w:color w:val="E46C0A" w:themeColor="accent6" w:themeShade="BF"/>
                <w:spacing w:val="0"/>
                <w:sz w:val="18"/>
                <w:szCs w:val="18"/>
                <w:lang w:eastAsia="zh-CN"/>
              </w:rPr>
              <w:t>（</w:t>
            </w:r>
            <w:r>
              <w:rPr>
                <w:rFonts w:hint="eastAsia" w:ascii="黑体" w:hAnsi="黑体" w:eastAsia="黑体" w:cs="黑体"/>
                <w:b/>
                <w:bCs/>
                <w:color w:val="E46C0A" w:themeColor="accent6" w:themeShade="BF"/>
                <w:spacing w:val="0"/>
                <w:sz w:val="18"/>
                <w:szCs w:val="18"/>
                <w:lang w:val="en-US" w:eastAsia="zh-CN"/>
              </w:rPr>
              <w:t>四</w:t>
            </w:r>
            <w:r>
              <w:rPr>
                <w:rFonts w:hint="eastAsia" w:ascii="黑体" w:hAnsi="黑体" w:eastAsia="黑体" w:cs="黑体"/>
                <w:b/>
                <w:bCs/>
                <w:color w:val="E46C0A" w:themeColor="accent6" w:themeShade="BF"/>
                <w:spacing w:val="0"/>
                <w:sz w:val="18"/>
                <w:szCs w:val="18"/>
                <w:lang w:eastAsia="zh-CN"/>
              </w:rPr>
              <w:t>）</w:t>
            </w:r>
            <w:r>
              <w:rPr>
                <w:rFonts w:hint="eastAsia" w:ascii="黑体" w:hAnsi="黑体" w:eastAsia="黑体" w:cs="黑体"/>
                <w:b/>
                <w:bCs/>
                <w:color w:val="E46C0A" w:themeColor="accent6" w:themeShade="BF"/>
                <w:spacing w:val="0"/>
                <w:sz w:val="18"/>
                <w:szCs w:val="18"/>
                <w:lang w:val="en-US" w:eastAsia="zh-CN"/>
              </w:rPr>
              <w:t>款</w:t>
            </w:r>
          </w:p>
        </w:tc>
      </w:tr>
      <w:tr w14:paraId="166C5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619BAB3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八</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“通风系统不完善、不可靠”重大事故隐患,是指有下列情形之一的:</w:t>
            </w:r>
          </w:p>
        </w:tc>
      </w:tr>
      <w:tr w14:paraId="7FEA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352C78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（一）矿井总风量不足</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采掘工作面</w:t>
            </w:r>
            <w:r>
              <w:rPr>
                <w:rFonts w:hint="eastAsia" w:ascii="黑体" w:hAnsi="黑体" w:eastAsia="黑体" w:cs="黑体"/>
                <w:b/>
                <w:bCs/>
                <w:color w:val="009C46"/>
                <w:spacing w:val="0"/>
                <w:sz w:val="21"/>
                <w:szCs w:val="21"/>
              </w:rPr>
              <w:t>等主要用风地点风量不足的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2EF4F43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矿井总风量不足,或者采掘工作面</w:t>
            </w:r>
            <w:r>
              <w:rPr>
                <w:rFonts w:hint="eastAsia" w:ascii="黑体" w:hAnsi="黑体" w:eastAsia="黑体" w:cs="黑体"/>
                <w:b/>
                <w:bCs/>
                <w:color w:val="009C46"/>
                <w:spacing w:val="0"/>
                <w:sz w:val="21"/>
                <w:szCs w:val="21"/>
              </w:rPr>
              <w:t>实际供风量小于需风量75%</w:t>
            </w:r>
            <w:r>
              <w:rPr>
                <w:rFonts w:hint="eastAsia" w:ascii="仿宋_GB2312" w:hAnsi="仿宋_GB2312" w:eastAsia="仿宋_GB2312" w:cs="仿宋_GB2312"/>
                <w:spacing w:val="0"/>
                <w:sz w:val="21"/>
                <w:szCs w:val="21"/>
                <w:lang w:eastAsia="zh-CN"/>
              </w:rPr>
              <w:t>。</w:t>
            </w:r>
          </w:p>
        </w:tc>
      </w:tr>
      <w:tr w14:paraId="40AC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614D06E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（二）没有备用主要通风机，或者两台主要通风机不具有同等能力的；</w:t>
            </w:r>
          </w:p>
        </w:tc>
        <w:tc>
          <w:tcPr>
            <w:tcW w:w="4501" w:type="dxa"/>
            <w:tcMar>
              <w:top w:w="57" w:type="dxa"/>
              <w:left w:w="57" w:type="dxa"/>
              <w:bottom w:w="57" w:type="dxa"/>
              <w:right w:w="57" w:type="dxa"/>
            </w:tcMar>
            <w:vAlign w:val="top"/>
          </w:tcPr>
          <w:p w14:paraId="4CBBE8F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没有备用主要通风机,或者两台主要通风机不具有同等能力</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主要通风机升级改造、更换期间,制定并落实安全技术措施的除外</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w:t>
            </w:r>
          </w:p>
        </w:tc>
      </w:tr>
      <w:tr w14:paraId="68F61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6A0780A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（三）违反《煤矿安全规程》规定采用串联通风的；</w:t>
            </w:r>
          </w:p>
        </w:tc>
        <w:tc>
          <w:tcPr>
            <w:tcW w:w="4501" w:type="dxa"/>
            <w:tcMar>
              <w:top w:w="57" w:type="dxa"/>
              <w:left w:w="57" w:type="dxa"/>
              <w:bottom w:w="57" w:type="dxa"/>
              <w:right w:w="57" w:type="dxa"/>
            </w:tcMar>
            <w:vAlign w:val="top"/>
          </w:tcPr>
          <w:p w14:paraId="547836A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违反《煤矿安全规程》规定采用串联通风。</w:t>
            </w:r>
          </w:p>
        </w:tc>
      </w:tr>
      <w:tr w14:paraId="4A2DA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232F3BB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（四）未按照设计形成通风系统，</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生产水平</w:t>
            </w:r>
            <w:r>
              <w:rPr>
                <w:rFonts w:hint="eastAsia" w:ascii="黑体" w:hAnsi="黑体" w:eastAsia="黑体" w:cs="黑体"/>
                <w:b/>
                <w:bCs/>
                <w:color w:val="009C46"/>
                <w:spacing w:val="0"/>
                <w:sz w:val="21"/>
                <w:szCs w:val="21"/>
              </w:rPr>
              <w:t>和</w:t>
            </w:r>
            <w:r>
              <w:rPr>
                <w:rFonts w:hint="eastAsia" w:ascii="仿宋_GB2312" w:hAnsi="仿宋_GB2312" w:eastAsia="仿宋_GB2312" w:cs="仿宋_GB2312"/>
                <w:spacing w:val="0"/>
                <w:sz w:val="21"/>
                <w:szCs w:val="21"/>
              </w:rPr>
              <w:t>采（盘）区未实现分区通风的；</w:t>
            </w:r>
          </w:p>
        </w:tc>
        <w:tc>
          <w:tcPr>
            <w:tcW w:w="4501" w:type="dxa"/>
            <w:tcMar>
              <w:top w:w="57" w:type="dxa"/>
              <w:left w:w="57" w:type="dxa"/>
              <w:bottom w:w="57" w:type="dxa"/>
              <w:right w:w="57" w:type="dxa"/>
            </w:tcMar>
            <w:vAlign w:val="top"/>
          </w:tcPr>
          <w:p w14:paraId="3BC4AAC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四</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未按照设计形成</w:t>
            </w:r>
            <w:r>
              <w:rPr>
                <w:rFonts w:hint="eastAsia" w:ascii="黑体" w:hAnsi="黑体" w:eastAsia="黑体" w:cs="黑体"/>
                <w:b w:val="0"/>
                <w:bCs/>
                <w:color w:val="FF0000"/>
                <w:spacing w:val="0"/>
                <w:sz w:val="21"/>
                <w:szCs w:val="21"/>
              </w:rPr>
              <w:t>矿井或者采</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盘</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区</w:t>
            </w:r>
            <w:r>
              <w:rPr>
                <w:rFonts w:hint="eastAsia" w:ascii="仿宋_GB2312" w:hAnsi="仿宋_GB2312" w:eastAsia="仿宋_GB2312" w:cs="仿宋_GB2312"/>
                <w:spacing w:val="0"/>
                <w:sz w:val="21"/>
                <w:szCs w:val="21"/>
              </w:rPr>
              <w:t>通风系统。</w:t>
            </w:r>
          </w:p>
        </w:tc>
      </w:tr>
      <w:tr w14:paraId="3FB83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021A3D3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4E32837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五</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生产水平</w:t>
            </w:r>
            <w:r>
              <w:rPr>
                <w:rFonts w:hint="eastAsia" w:ascii="黑体" w:hAnsi="黑体" w:eastAsia="黑体" w:cs="黑体"/>
                <w:b/>
                <w:bCs/>
                <w:color w:val="009C46"/>
                <w:spacing w:val="0"/>
                <w:sz w:val="21"/>
                <w:szCs w:val="21"/>
              </w:rPr>
              <w:t>或者</w:t>
            </w:r>
            <w:r>
              <w:rPr>
                <w:rFonts w:hint="eastAsia" w:ascii="黑体" w:hAnsi="黑体" w:eastAsia="黑体" w:cs="黑体"/>
                <w:b w:val="0"/>
                <w:bCs/>
                <w:color w:val="FF0000"/>
                <w:spacing w:val="0"/>
                <w:sz w:val="21"/>
                <w:szCs w:val="21"/>
              </w:rPr>
              <w:t>生产</w:t>
            </w:r>
            <w:r>
              <w:rPr>
                <w:rFonts w:hint="eastAsia" w:ascii="仿宋_GB2312" w:hAnsi="仿宋_GB2312" w:eastAsia="仿宋_GB2312" w:cs="仿宋_GB2312"/>
                <w:spacing w:val="0"/>
                <w:sz w:val="21"/>
                <w:szCs w:val="21"/>
              </w:rPr>
              <w:t>采</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盘</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区未实现分区通风。</w:t>
            </w:r>
          </w:p>
        </w:tc>
      </w:tr>
      <w:tr w14:paraId="2AD69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309B4E7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（五）高瓦斯、煤与瓦斯突出矿井的</w:t>
            </w:r>
            <w:r>
              <w:rPr>
                <w:rFonts w:hint="eastAsia" w:ascii="黑体" w:hAnsi="黑体" w:eastAsia="黑体" w:cs="黑体"/>
                <w:b/>
                <w:bCs/>
                <w:color w:val="009C46"/>
                <w:spacing w:val="0"/>
                <w:sz w:val="21"/>
                <w:szCs w:val="21"/>
              </w:rPr>
              <w:t>任一</w:t>
            </w:r>
            <w:r>
              <w:rPr>
                <w:rFonts w:hint="eastAsia" w:ascii="仿宋_GB2312" w:hAnsi="仿宋_GB2312" w:eastAsia="仿宋_GB2312" w:cs="仿宋_GB2312"/>
                <w:spacing w:val="0"/>
                <w:sz w:val="21"/>
                <w:szCs w:val="21"/>
              </w:rPr>
              <w:t>采（盘）区，开采容易自燃煤层、低瓦斯矿井开采煤层群</w:t>
            </w:r>
            <w:r>
              <w:rPr>
                <w:rFonts w:hint="eastAsia" w:ascii="黑体" w:hAnsi="黑体" w:eastAsia="黑体" w:cs="黑体"/>
                <w:strike/>
                <w:dstrike w:val="0"/>
                <w:color w:val="0000FF"/>
                <w:spacing w:val="0"/>
                <w:sz w:val="21"/>
                <w:szCs w:val="21"/>
              </w:rPr>
              <w:t>和</w:t>
            </w:r>
            <w:r>
              <w:rPr>
                <w:rFonts w:hint="eastAsia" w:ascii="仿宋_GB2312" w:hAnsi="仿宋_GB2312" w:eastAsia="仿宋_GB2312" w:cs="仿宋_GB2312"/>
                <w:spacing w:val="0"/>
                <w:sz w:val="21"/>
                <w:szCs w:val="21"/>
              </w:rPr>
              <w:t>分层开采采用联合布置的采（盘）区，未设置专用回风巷，</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突出煤层工作面</w:t>
            </w:r>
            <w:r>
              <w:rPr>
                <w:rFonts w:hint="eastAsia" w:ascii="黑体" w:hAnsi="黑体" w:eastAsia="黑体" w:cs="黑体"/>
                <w:b/>
                <w:bCs/>
                <w:color w:val="009C46"/>
                <w:spacing w:val="0"/>
                <w:sz w:val="21"/>
                <w:szCs w:val="21"/>
              </w:rPr>
              <w:t>没有独立的回风系统的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508D53D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六</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高瓦斯、煤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岩</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与瓦斯</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二氧化碳</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突出矿井的</w:t>
            </w:r>
            <w:r>
              <w:rPr>
                <w:rFonts w:hint="eastAsia" w:ascii="黑体" w:hAnsi="黑体" w:eastAsia="黑体" w:cs="黑体"/>
                <w:b/>
                <w:bCs/>
                <w:color w:val="009C46"/>
                <w:spacing w:val="0"/>
                <w:sz w:val="21"/>
                <w:szCs w:val="21"/>
              </w:rPr>
              <w:t>每个</w:t>
            </w:r>
            <w:r>
              <w:rPr>
                <w:rFonts w:hint="eastAsia" w:ascii="仿宋_GB2312" w:hAnsi="仿宋_GB2312" w:eastAsia="仿宋_GB2312" w:cs="仿宋_GB2312"/>
                <w:spacing w:val="0"/>
                <w:sz w:val="21"/>
                <w:szCs w:val="21"/>
              </w:rPr>
              <w:t>采</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盘</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区</w:t>
            </w:r>
            <w:r>
              <w:rPr>
                <w:rFonts w:hint="eastAsia" w:ascii="黑体" w:hAnsi="黑体" w:eastAsia="黑体" w:cs="黑体"/>
                <w:b w:val="0"/>
                <w:bCs/>
                <w:color w:val="FF0000"/>
                <w:spacing w:val="0"/>
                <w:sz w:val="21"/>
                <w:szCs w:val="21"/>
              </w:rPr>
              <w:t>和</w:t>
            </w:r>
            <w:r>
              <w:rPr>
                <w:rFonts w:hint="eastAsia" w:ascii="仿宋_GB2312" w:hAnsi="仿宋_GB2312" w:eastAsia="仿宋_GB2312" w:cs="仿宋_GB2312"/>
                <w:spacing w:val="0"/>
                <w:sz w:val="21"/>
                <w:szCs w:val="21"/>
              </w:rPr>
              <w:t>开采容易自燃煤层的采</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盘</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区未设置专用回风巷。</w:t>
            </w:r>
          </w:p>
        </w:tc>
      </w:tr>
      <w:tr w14:paraId="02D26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2A2A14A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01EE60A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七</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低瓦斯矿井开采煤层群、分层开采采用联合布置的采</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盘</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区未设置专用回风巷。</w:t>
            </w:r>
          </w:p>
        </w:tc>
      </w:tr>
      <w:tr w14:paraId="4723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72A9058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00B62CF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lang w:val="zh-CN" w:eastAsia="zh-CN"/>
              </w:rPr>
              <w:t>（八）突出煤层</w:t>
            </w:r>
            <w:r>
              <w:rPr>
                <w:rFonts w:hint="eastAsia" w:ascii="黑体" w:hAnsi="黑体" w:eastAsia="黑体" w:cs="黑体"/>
                <w:b w:val="0"/>
                <w:bCs/>
                <w:color w:val="FF0000"/>
                <w:spacing w:val="0"/>
                <w:sz w:val="21"/>
                <w:szCs w:val="21"/>
                <w:lang w:val="zh-CN" w:eastAsia="zh-CN"/>
              </w:rPr>
              <w:t>采掘</w:t>
            </w:r>
            <w:r>
              <w:rPr>
                <w:rFonts w:hint="eastAsia" w:ascii="仿宋_GB2312" w:hAnsi="仿宋_GB2312" w:eastAsia="仿宋_GB2312" w:cs="仿宋_GB2312"/>
                <w:spacing w:val="0"/>
                <w:sz w:val="21"/>
                <w:szCs w:val="21"/>
                <w:lang w:val="zh-CN" w:eastAsia="zh-CN"/>
              </w:rPr>
              <w:t>工作面</w:t>
            </w:r>
            <w:r>
              <w:rPr>
                <w:rFonts w:hint="eastAsia" w:ascii="黑体" w:hAnsi="黑体" w:eastAsia="黑体" w:cs="黑体"/>
                <w:b w:val="0"/>
                <w:bCs/>
                <w:color w:val="FF0000"/>
                <w:spacing w:val="0"/>
                <w:sz w:val="21"/>
                <w:szCs w:val="21"/>
                <w:lang w:val="zh-CN" w:eastAsia="zh-CN"/>
              </w:rPr>
              <w:t>回风</w:t>
            </w:r>
            <w:r>
              <w:rPr>
                <w:rFonts w:hint="eastAsia" w:ascii="黑体" w:hAnsi="黑体" w:eastAsia="黑体" w:cs="黑体"/>
                <w:b/>
                <w:bCs/>
                <w:color w:val="009C46"/>
                <w:spacing w:val="0"/>
                <w:sz w:val="21"/>
                <w:szCs w:val="21"/>
                <w:lang w:val="zh-CN" w:eastAsia="zh-CN"/>
              </w:rPr>
              <w:t>没有直接进入专用回风巷或者矿井总回风巷</w:t>
            </w:r>
            <w:r>
              <w:rPr>
                <w:rFonts w:hint="eastAsia" w:ascii="仿宋_GB2312" w:hAnsi="仿宋_GB2312" w:eastAsia="仿宋_GB2312" w:cs="仿宋_GB2312"/>
                <w:spacing w:val="0"/>
                <w:sz w:val="21"/>
                <w:szCs w:val="21"/>
                <w:lang w:val="zh-CN" w:eastAsia="zh-CN"/>
              </w:rPr>
              <w:t>。</w:t>
            </w:r>
          </w:p>
        </w:tc>
      </w:tr>
      <w:tr w14:paraId="3865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C6D918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（六）进、回风井之间</w:t>
            </w:r>
            <w:r>
              <w:rPr>
                <w:rFonts w:hint="eastAsia" w:ascii="黑体" w:hAnsi="黑体" w:eastAsia="黑体" w:cs="黑体"/>
                <w:b/>
                <w:bCs/>
                <w:color w:val="009C46"/>
                <w:spacing w:val="0"/>
                <w:sz w:val="21"/>
                <w:szCs w:val="21"/>
              </w:rPr>
              <w:t>和主要进、回风巷</w:t>
            </w:r>
            <w:r>
              <w:rPr>
                <w:rFonts w:hint="eastAsia" w:ascii="仿宋_GB2312" w:hAnsi="仿宋_GB2312" w:eastAsia="仿宋_GB2312" w:cs="仿宋_GB2312"/>
                <w:spacing w:val="0"/>
                <w:sz w:val="21"/>
                <w:szCs w:val="21"/>
              </w:rPr>
              <w:t>之间联络巷中的风墙、风门不符合《煤矿安全规程》规定，造成风流短路的；</w:t>
            </w:r>
          </w:p>
        </w:tc>
        <w:tc>
          <w:tcPr>
            <w:tcW w:w="4501" w:type="dxa"/>
            <w:tcMar>
              <w:top w:w="57" w:type="dxa"/>
              <w:left w:w="57" w:type="dxa"/>
              <w:bottom w:w="57" w:type="dxa"/>
              <w:right w:w="57" w:type="dxa"/>
            </w:tcMar>
            <w:vAlign w:val="top"/>
          </w:tcPr>
          <w:p w14:paraId="0328779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（九）进、回风井之间,</w:t>
            </w:r>
            <w:r>
              <w:rPr>
                <w:rFonts w:hint="eastAsia" w:ascii="黑体" w:hAnsi="黑体" w:eastAsia="黑体" w:cs="黑体"/>
                <w:b/>
                <w:bCs/>
                <w:color w:val="009C46"/>
                <w:spacing w:val="0"/>
                <w:sz w:val="21"/>
                <w:szCs w:val="21"/>
              </w:rPr>
              <w:t>总进、总回风巷之间和采（盘）区进、回风巷</w:t>
            </w:r>
            <w:r>
              <w:rPr>
                <w:rFonts w:hint="eastAsia" w:ascii="仿宋_GB2312" w:hAnsi="仿宋_GB2312" w:eastAsia="仿宋_GB2312" w:cs="仿宋_GB2312"/>
                <w:spacing w:val="0"/>
                <w:sz w:val="21"/>
                <w:szCs w:val="21"/>
              </w:rPr>
              <w:t>之间联络巷中的风墙、风门不符合《煤矿安全规程》规定,造成风流短路。</w:t>
            </w:r>
          </w:p>
        </w:tc>
      </w:tr>
      <w:tr w14:paraId="30DD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37FC834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246C26B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w:t>
            </w:r>
            <w:r>
              <w:rPr>
                <w:rFonts w:hint="eastAsia" w:ascii="黑体" w:hAnsi="黑体" w:eastAsia="黑体" w:cs="黑体"/>
                <w:b w:val="0"/>
                <w:bCs/>
                <w:color w:val="FF0000"/>
                <w:spacing w:val="0"/>
                <w:sz w:val="21"/>
                <w:szCs w:val="21"/>
              </w:rPr>
              <w:t>采煤工作面风流短路造成瓦斯积聚、超限。</w:t>
            </w:r>
          </w:p>
        </w:tc>
      </w:tr>
      <w:tr w14:paraId="1A29B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18B4E2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val="0"/>
                <w:color w:val="808080" w:themeColor="text1" w:themeTint="80"/>
                <w:spacing w:val="0"/>
                <w:sz w:val="18"/>
                <w:szCs w:val="18"/>
                <w14:textFill>
                  <w14:solidFill>
                    <w14:schemeClr w14:val="tx1">
                      <w14:lumMod w14:val="50000"/>
                      <w14:lumOff w14:val="50000"/>
                    </w14:schemeClr>
                  </w14:solidFill>
                </w14:textFill>
              </w:rPr>
            </w:pPr>
            <w:r>
              <w:rPr>
                <w:rFonts w:hint="eastAsia" w:ascii="仿宋_GB2312" w:hAnsi="仿宋_GB2312" w:eastAsia="仿宋_GB2312" w:cs="仿宋_GB2312"/>
                <w:spacing w:val="0"/>
                <w:sz w:val="21"/>
                <w:szCs w:val="21"/>
              </w:rPr>
              <w:t>（七）采区进、回风巷未贯穿整个采区，或者虽贯穿整个采区但</w:t>
            </w:r>
            <w:r>
              <w:rPr>
                <w:rFonts w:hint="eastAsia" w:ascii="黑体" w:hAnsi="黑体" w:eastAsia="黑体" w:cs="黑体"/>
                <w:b/>
                <w:bCs/>
                <w:color w:val="009C46"/>
                <w:spacing w:val="0"/>
                <w:sz w:val="21"/>
                <w:szCs w:val="21"/>
              </w:rPr>
              <w:t>一段进风、一段回风</w:t>
            </w:r>
            <w:r>
              <w:rPr>
                <w:rFonts w:hint="eastAsia" w:ascii="仿宋_GB2312" w:hAnsi="仿宋_GB2312" w:eastAsia="仿宋_GB2312" w:cs="仿宋_GB2312"/>
                <w:spacing w:val="0"/>
                <w:sz w:val="21"/>
                <w:szCs w:val="21"/>
              </w:rPr>
              <w:t>，</w:t>
            </w:r>
            <w:r>
              <w:rPr>
                <w:rFonts w:hint="eastAsia" w:ascii="黑体" w:hAnsi="黑体" w:eastAsia="黑体" w:cs="黑体"/>
                <w:b w:val="0"/>
                <w:bCs w:val="0"/>
                <w:strike w:val="0"/>
                <w:dstrike w:val="0"/>
                <w:color w:val="808080" w:themeColor="text1" w:themeTint="80"/>
                <w:spacing w:val="0"/>
                <w:sz w:val="18"/>
                <w:szCs w:val="18"/>
                <w14:textFill>
                  <w14:solidFill>
                    <w14:schemeClr w14:val="tx1">
                      <w14:lumMod w14:val="50000"/>
                      <w14:lumOff w14:val="50000"/>
                    </w14:schemeClr>
                  </w14:solidFill>
                </w14:textFill>
              </w:rPr>
              <w:t>或者</w:t>
            </w:r>
            <w:r>
              <w:rPr>
                <w:rFonts w:hint="eastAsia" w:ascii="黑体" w:hAnsi="黑体" w:eastAsia="黑体" w:cs="黑体"/>
                <w:b w:val="0"/>
                <w:bCs w:val="0"/>
                <w:color w:val="808080" w:themeColor="text1" w:themeTint="80"/>
                <w:spacing w:val="0"/>
                <w:sz w:val="18"/>
                <w:szCs w:val="18"/>
                <w14:textFill>
                  <w14:solidFill>
                    <w14:schemeClr w14:val="tx1">
                      <w14:lumMod w14:val="50000"/>
                      <w14:lumOff w14:val="50000"/>
                    </w14:schemeClr>
                  </w14:solidFill>
                </w14:textFill>
              </w:rPr>
              <w:t>采用倾斜长壁布置，大巷未超前至少2个区段构成通风系统即开掘其他巷道的；</w:t>
            </w:r>
          </w:p>
          <w:p w14:paraId="522A4E8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*本款后半部分调整至本条第（十三）款</w:t>
            </w:r>
          </w:p>
        </w:tc>
        <w:tc>
          <w:tcPr>
            <w:tcW w:w="4501" w:type="dxa"/>
            <w:tcMar>
              <w:top w:w="57" w:type="dxa"/>
              <w:left w:w="57" w:type="dxa"/>
              <w:bottom w:w="57" w:type="dxa"/>
              <w:right w:w="57" w:type="dxa"/>
            </w:tcMar>
            <w:vAlign w:val="top"/>
          </w:tcPr>
          <w:p w14:paraId="6BE3CB2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（十一）</w:t>
            </w:r>
            <w:r>
              <w:rPr>
                <w:rFonts w:hint="eastAsia" w:ascii="黑体" w:hAnsi="黑体" w:eastAsia="黑体" w:cs="黑体"/>
                <w:b w:val="0"/>
                <w:bCs/>
                <w:color w:val="FF0000"/>
                <w:spacing w:val="0"/>
                <w:sz w:val="21"/>
                <w:szCs w:val="21"/>
              </w:rPr>
              <w:t>生产</w:t>
            </w:r>
            <w:r>
              <w:rPr>
                <w:rFonts w:hint="eastAsia" w:ascii="仿宋_GB2312" w:hAnsi="仿宋_GB2312" w:eastAsia="仿宋_GB2312" w:cs="仿宋_GB2312"/>
                <w:spacing w:val="0"/>
                <w:sz w:val="21"/>
                <w:szCs w:val="21"/>
              </w:rPr>
              <w:t>采</w:t>
            </w:r>
            <w:r>
              <w:rPr>
                <w:rFonts w:hint="eastAsia" w:ascii="黑体" w:hAnsi="黑体" w:eastAsia="黑体" w:cs="黑体"/>
                <w:b w:val="0"/>
                <w:bCs/>
                <w:color w:val="FF0000"/>
                <w:spacing w:val="0"/>
                <w:sz w:val="21"/>
                <w:szCs w:val="21"/>
              </w:rPr>
              <w:t>（盘）</w:t>
            </w:r>
            <w:r>
              <w:rPr>
                <w:rFonts w:hint="eastAsia" w:ascii="仿宋_GB2312" w:hAnsi="仿宋_GB2312" w:eastAsia="仿宋_GB2312" w:cs="仿宋_GB2312"/>
                <w:spacing w:val="0"/>
                <w:sz w:val="21"/>
                <w:szCs w:val="21"/>
              </w:rPr>
              <w:t>区进、回风巷未贯穿整个采</w:t>
            </w:r>
            <w:r>
              <w:rPr>
                <w:rFonts w:hint="eastAsia" w:ascii="黑体" w:hAnsi="黑体" w:eastAsia="黑体" w:cs="黑体"/>
                <w:b w:val="0"/>
                <w:bCs/>
                <w:color w:val="FF0000"/>
                <w:spacing w:val="0"/>
                <w:sz w:val="21"/>
                <w:szCs w:val="21"/>
              </w:rPr>
              <w:t>（盘）</w:t>
            </w:r>
            <w:r>
              <w:rPr>
                <w:rFonts w:hint="eastAsia" w:ascii="仿宋_GB2312" w:hAnsi="仿宋_GB2312" w:eastAsia="仿宋_GB2312" w:cs="仿宋_GB2312"/>
                <w:spacing w:val="0"/>
                <w:sz w:val="21"/>
                <w:szCs w:val="21"/>
              </w:rPr>
              <w:t>区或者虽贯穿整个采</w:t>
            </w:r>
            <w:r>
              <w:rPr>
                <w:rFonts w:hint="eastAsia" w:ascii="黑体" w:hAnsi="黑体" w:eastAsia="黑体" w:cs="黑体"/>
                <w:b w:val="0"/>
                <w:bCs/>
                <w:color w:val="FF0000"/>
                <w:spacing w:val="0"/>
                <w:sz w:val="21"/>
                <w:szCs w:val="21"/>
              </w:rPr>
              <w:t>（盘）</w:t>
            </w:r>
            <w:r>
              <w:rPr>
                <w:rFonts w:hint="eastAsia" w:ascii="仿宋_GB2312" w:hAnsi="仿宋_GB2312" w:eastAsia="仿宋_GB2312" w:cs="仿宋_GB2312"/>
                <w:spacing w:val="0"/>
                <w:sz w:val="21"/>
                <w:szCs w:val="21"/>
              </w:rPr>
              <w:t>区,但</w:t>
            </w:r>
            <w:r>
              <w:rPr>
                <w:rFonts w:hint="eastAsia" w:ascii="黑体" w:hAnsi="黑体" w:eastAsia="黑体" w:cs="黑体"/>
                <w:b/>
                <w:bCs/>
                <w:color w:val="009C46"/>
                <w:spacing w:val="0"/>
                <w:sz w:val="21"/>
                <w:szCs w:val="21"/>
              </w:rPr>
              <w:t>一段为进风巷、一段为回风巷</w:t>
            </w:r>
            <w:r>
              <w:rPr>
                <w:rFonts w:hint="eastAsia" w:ascii="仿宋_GB2312" w:hAnsi="仿宋_GB2312" w:eastAsia="仿宋_GB2312" w:cs="仿宋_GB2312"/>
                <w:spacing w:val="0"/>
                <w:sz w:val="21"/>
                <w:szCs w:val="21"/>
              </w:rPr>
              <w:t>。</w:t>
            </w:r>
          </w:p>
        </w:tc>
      </w:tr>
      <w:tr w14:paraId="535B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1872DE2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strike/>
                <w:dstrike w:val="0"/>
                <w:color w:val="0000FF"/>
                <w:spacing w:val="0"/>
                <w:sz w:val="21"/>
                <w:szCs w:val="21"/>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109D2C5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十二</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准备采</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盘</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区在未构成贯穿整个采</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盘</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区的通风系统时,开掘回采巷道。</w:t>
            </w:r>
          </w:p>
        </w:tc>
      </w:tr>
      <w:tr w14:paraId="5A4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4A9651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w:t>
            </w:r>
            <w:r>
              <w:rPr>
                <w:rFonts w:hint="eastAsia" w:ascii="黑体" w:hAnsi="黑体" w:eastAsia="黑体" w:cs="黑体"/>
                <w:b w:val="0"/>
                <w:bCs w:val="0"/>
                <w:color w:val="808080" w:themeColor="text1" w:themeTint="80"/>
                <w:spacing w:val="0"/>
                <w:sz w:val="18"/>
                <w:szCs w:val="18"/>
                <w14:textFill>
                  <w14:solidFill>
                    <w14:schemeClr w14:val="tx1">
                      <w14:lumMod w14:val="50000"/>
                      <w14:lumOff w14:val="50000"/>
                    </w14:schemeClr>
                  </w14:solidFill>
                </w14:textFill>
              </w:rPr>
              <w:t>采区进、回风巷未贯穿整个采区，或者虽贯穿整个采区但一段进风、一段回风，</w:t>
            </w:r>
            <w:r>
              <w:rPr>
                <w:rFonts w:hint="eastAsia" w:ascii="仿宋_GB2312" w:hAnsi="仿宋_GB2312" w:eastAsia="仿宋_GB2312" w:cs="仿宋_GB2312"/>
                <w:spacing w:val="0"/>
                <w:sz w:val="21"/>
                <w:szCs w:val="21"/>
              </w:rPr>
              <w:t>或者采用倾斜长壁布置，大巷未超前至少2个区段构成通风系统即开掘</w:t>
            </w:r>
            <w:r>
              <w:rPr>
                <w:rFonts w:hint="eastAsia" w:ascii="黑体" w:hAnsi="黑体" w:eastAsia="黑体" w:cs="黑体"/>
                <w:b/>
                <w:bCs/>
                <w:color w:val="009C46"/>
                <w:spacing w:val="0"/>
                <w:sz w:val="21"/>
                <w:szCs w:val="21"/>
              </w:rPr>
              <w:t>其他巷道的</w:t>
            </w:r>
            <w:r>
              <w:rPr>
                <w:rFonts w:hint="eastAsia" w:ascii="仿宋_GB2312" w:hAnsi="仿宋_GB2312" w:eastAsia="仿宋_GB2312" w:cs="仿宋_GB2312"/>
                <w:spacing w:val="0"/>
                <w:sz w:val="21"/>
                <w:szCs w:val="21"/>
              </w:rPr>
              <w:t>；</w:t>
            </w:r>
          </w:p>
          <w:p w14:paraId="6ACB770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strike/>
                <w:dstrike w:val="0"/>
                <w:color w:val="0000FF"/>
                <w:spacing w:val="0"/>
                <w:sz w:val="21"/>
                <w:szCs w:val="21"/>
              </w:rPr>
            </w:pPr>
            <w:r>
              <w:rPr>
                <w:rFonts w:hint="eastAsia" w:ascii="黑体" w:hAnsi="黑体" w:eastAsia="黑体" w:cs="黑体"/>
                <w:b/>
                <w:bCs/>
                <w:color w:val="E46C0A" w:themeColor="accent6" w:themeShade="BF"/>
                <w:spacing w:val="0"/>
                <w:sz w:val="18"/>
                <w:szCs w:val="18"/>
                <w:lang w:val="en-US" w:eastAsia="zh-CN"/>
              </w:rPr>
              <w:t>*本款前半部分本条第（十一）款</w:t>
            </w:r>
          </w:p>
        </w:tc>
        <w:tc>
          <w:tcPr>
            <w:tcW w:w="4501" w:type="dxa"/>
            <w:tcMar>
              <w:top w:w="57" w:type="dxa"/>
              <w:left w:w="57" w:type="dxa"/>
              <w:bottom w:w="57" w:type="dxa"/>
              <w:right w:w="57" w:type="dxa"/>
            </w:tcMar>
            <w:vAlign w:val="top"/>
          </w:tcPr>
          <w:p w14:paraId="07CB254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采用倾斜长壁布置,大巷未超前至少2个区段构成通风系统即开掘</w:t>
            </w:r>
            <w:r>
              <w:rPr>
                <w:rFonts w:hint="eastAsia" w:ascii="黑体" w:hAnsi="黑体" w:eastAsia="黑体" w:cs="黑体"/>
                <w:b/>
                <w:bCs/>
                <w:color w:val="009C46"/>
                <w:spacing w:val="0"/>
                <w:sz w:val="21"/>
                <w:szCs w:val="21"/>
              </w:rPr>
              <w:t>回采巷道</w:t>
            </w:r>
            <w:r>
              <w:rPr>
                <w:rFonts w:hint="eastAsia" w:ascii="仿宋_GB2312" w:hAnsi="仿宋_GB2312" w:eastAsia="仿宋_GB2312" w:cs="仿宋_GB2312"/>
                <w:spacing w:val="0"/>
                <w:sz w:val="21"/>
                <w:szCs w:val="21"/>
              </w:rPr>
              <w:t>。</w:t>
            </w:r>
          </w:p>
        </w:tc>
      </w:tr>
      <w:tr w14:paraId="6BECD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0D3CB1F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（八）煤巷、半煤岩巷和有瓦斯涌出的岩巷掘进未按照国家规定装备甲烷电、风电闭锁装置或者有关装置不能正常使用的；</w:t>
            </w:r>
          </w:p>
        </w:tc>
        <w:tc>
          <w:tcPr>
            <w:tcW w:w="4501" w:type="dxa"/>
            <w:tcMar>
              <w:top w:w="57" w:type="dxa"/>
              <w:left w:w="57" w:type="dxa"/>
              <w:bottom w:w="57" w:type="dxa"/>
              <w:right w:w="57" w:type="dxa"/>
            </w:tcMar>
            <w:vAlign w:val="center"/>
          </w:tcPr>
          <w:p w14:paraId="73CCA2A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default" w:ascii="黑体" w:hAnsi="黑体" w:eastAsia="黑体" w:cs="黑体"/>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134D4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CAFDFC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（九）高瓦斯、煤（岩）与瓦斯（二氧化碳）突出矿井的煤巷、半煤岩巷和有瓦斯涌出的岩巷掘进工作面采用局部通风时，不能实现双风机、双电源且自动切换</w:t>
            </w:r>
            <w:r>
              <w:rPr>
                <w:rFonts w:hint="eastAsia" w:ascii="黑体" w:hAnsi="黑体" w:eastAsia="黑体" w:cs="黑体"/>
                <w:strike/>
                <w:dstrike w:val="0"/>
                <w:color w:val="0000FF"/>
                <w:spacing w:val="0"/>
                <w:sz w:val="21"/>
                <w:szCs w:val="21"/>
              </w:rPr>
              <w:t>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73F2DD8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十四</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高瓦斯、煤</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岩</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与瓦斯</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二氧化碳</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突出矿井的煤巷、半煤岩巷和有瓦斯涌出的岩巷掘进工作面采用局部通风机通风时,不能实现双风机、双电源且自动切换</w:t>
            </w:r>
            <w:r>
              <w:rPr>
                <w:rFonts w:hint="eastAsia" w:ascii="黑体" w:hAnsi="黑体" w:eastAsia="黑体" w:cs="黑体"/>
                <w:b w:val="0"/>
                <w:bCs/>
                <w:color w:val="FF0000"/>
                <w:spacing w:val="0"/>
                <w:sz w:val="21"/>
                <w:szCs w:val="21"/>
              </w:rPr>
              <w:t>,或者出现局部通风机循环风</w:t>
            </w:r>
            <w:r>
              <w:rPr>
                <w:rFonts w:hint="eastAsia" w:ascii="仿宋_GB2312" w:hAnsi="仿宋_GB2312" w:eastAsia="仿宋_GB2312" w:cs="仿宋_GB2312"/>
                <w:spacing w:val="0"/>
                <w:sz w:val="21"/>
                <w:szCs w:val="21"/>
                <w:lang w:eastAsia="zh-CN"/>
              </w:rPr>
              <w:t>。</w:t>
            </w:r>
          </w:p>
        </w:tc>
      </w:tr>
      <w:tr w14:paraId="7F27F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12458C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（十）高瓦斯、煤（岩）与瓦斯（二氧化碳）突出建设矿井进入二期工程前，其他建设矿井进入三期工程前，没有形成地面主要通风机供风的全风压通风系统</w:t>
            </w:r>
            <w:r>
              <w:rPr>
                <w:rFonts w:hint="eastAsia" w:ascii="黑体" w:hAnsi="黑体" w:eastAsia="黑体" w:cs="黑体"/>
                <w:strike/>
                <w:dstrike w:val="0"/>
                <w:color w:val="0000FF"/>
                <w:spacing w:val="0"/>
                <w:sz w:val="21"/>
                <w:szCs w:val="21"/>
              </w:rPr>
              <w:t>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6088337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十五</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高瓦斯、煤</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岩</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与瓦斯</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二氧化碳</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突出建设矿井进入二期工程前,其他建设矿井进入三期工程前,没有形成地面主要通风机供风的全风压通风系统</w:t>
            </w:r>
            <w:r>
              <w:rPr>
                <w:rFonts w:hint="eastAsia" w:ascii="仿宋_GB2312" w:hAnsi="仿宋_GB2312" w:eastAsia="仿宋_GB2312" w:cs="仿宋_GB2312"/>
                <w:spacing w:val="0"/>
                <w:sz w:val="21"/>
                <w:szCs w:val="21"/>
                <w:lang w:eastAsia="zh-CN"/>
              </w:rPr>
              <w:t>。</w:t>
            </w:r>
          </w:p>
        </w:tc>
      </w:tr>
      <w:tr w14:paraId="7BAD2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E08AC7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FF0000"/>
                <w:spacing w:val="0"/>
                <w:sz w:val="21"/>
                <w:szCs w:val="21"/>
                <w:lang w:val="en-US" w:eastAsia="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center"/>
          </w:tcPr>
          <w:p w14:paraId="69F4B04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十六</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巷道贯通时,综合机械化掘进巷道在相距50m前、其他巷道在相距20m前,停掘的工作面未保持正常通风</w:t>
            </w:r>
            <w:r>
              <w:rPr>
                <w:rFonts w:hint="eastAsia" w:ascii="黑体" w:hAnsi="黑体" w:eastAsia="黑体" w:cs="黑体"/>
                <w:b w:val="0"/>
                <w:bCs/>
                <w:color w:val="FF0000"/>
                <w:spacing w:val="0"/>
                <w:sz w:val="21"/>
                <w:szCs w:val="21"/>
                <w:lang w:eastAsia="zh-CN"/>
              </w:rPr>
              <w:t>。</w:t>
            </w:r>
          </w:p>
        </w:tc>
      </w:tr>
      <w:tr w14:paraId="646F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BDF32A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FF0000"/>
                <w:spacing w:val="0"/>
                <w:sz w:val="21"/>
                <w:szCs w:val="21"/>
                <w:lang w:val="en-US" w:eastAsia="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6DE047B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十七</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未按照《煤矿安全规程》规定启封井下永久密闭墙</w:t>
            </w:r>
            <w:r>
              <w:rPr>
                <w:rFonts w:hint="eastAsia" w:ascii="黑体" w:hAnsi="黑体" w:eastAsia="黑体" w:cs="黑体"/>
                <w:b w:val="0"/>
                <w:bCs/>
                <w:color w:val="FF0000"/>
                <w:spacing w:val="0"/>
                <w:sz w:val="21"/>
                <w:szCs w:val="21"/>
                <w:lang w:eastAsia="zh-CN"/>
              </w:rPr>
              <w:t>。</w:t>
            </w:r>
          </w:p>
        </w:tc>
      </w:tr>
      <w:tr w14:paraId="7F8E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5AC0ADA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黑体" w:hAnsi="黑体" w:eastAsia="黑体" w:cs="黑体"/>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九</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“超层、越界开采”重大事故隐患,是指有下列情形之一的:</w:t>
            </w:r>
          </w:p>
        </w:tc>
      </w:tr>
      <w:tr w14:paraId="6F6D5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31FA72D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（一）超出采矿许可证载明的开采煤层层位或者标高进行开采的；</w:t>
            </w:r>
          </w:p>
          <w:p w14:paraId="3BBD4F6A">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（二）超出采矿许可证载明的坐标控制范围进行</w:t>
            </w:r>
            <w:r>
              <w:rPr>
                <w:rFonts w:hint="eastAsia" w:ascii="黑体" w:hAnsi="黑体" w:eastAsia="黑体" w:cs="黑体"/>
                <w:b/>
                <w:bCs/>
                <w:color w:val="009C46"/>
                <w:spacing w:val="0"/>
                <w:sz w:val="21"/>
                <w:szCs w:val="21"/>
              </w:rPr>
              <w:t>开采</w:t>
            </w:r>
            <w:r>
              <w:rPr>
                <w:rFonts w:hint="eastAsia" w:ascii="仿宋_GB2312" w:hAnsi="仿宋_GB2312" w:eastAsia="仿宋_GB2312" w:cs="仿宋_GB2312"/>
                <w:spacing w:val="0"/>
                <w:sz w:val="21"/>
                <w:szCs w:val="21"/>
              </w:rPr>
              <w:t>的；</w:t>
            </w:r>
          </w:p>
        </w:tc>
        <w:tc>
          <w:tcPr>
            <w:tcW w:w="4501" w:type="dxa"/>
            <w:tcMar>
              <w:top w:w="57" w:type="dxa"/>
              <w:left w:w="57" w:type="dxa"/>
              <w:bottom w:w="57" w:type="dxa"/>
              <w:right w:w="57" w:type="dxa"/>
            </w:tcMar>
            <w:vAlign w:val="top"/>
          </w:tcPr>
          <w:p w14:paraId="406A9AA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超出采矿许可证载明的开采煤层层位进行开采</w:t>
            </w:r>
            <w:r>
              <w:rPr>
                <w:rFonts w:hint="eastAsia" w:ascii="仿宋_GB2312" w:hAnsi="仿宋_GB2312" w:eastAsia="仿宋_GB2312" w:cs="仿宋_GB2312"/>
                <w:spacing w:val="0"/>
                <w:sz w:val="21"/>
                <w:szCs w:val="21"/>
                <w:lang w:eastAsia="zh-CN"/>
              </w:rPr>
              <w:t>。</w:t>
            </w:r>
          </w:p>
        </w:tc>
      </w:tr>
      <w:tr w14:paraId="733DF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66D4122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3BCE4DB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超出采矿许可证载明的坐标控制范围或者标高进行</w:t>
            </w:r>
            <w:r>
              <w:rPr>
                <w:rFonts w:hint="eastAsia" w:ascii="黑体" w:hAnsi="黑体" w:eastAsia="黑体" w:cs="黑体"/>
                <w:b/>
                <w:bCs/>
                <w:color w:val="009C46"/>
                <w:spacing w:val="0"/>
                <w:sz w:val="21"/>
                <w:szCs w:val="21"/>
              </w:rPr>
              <w:t>采煤</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剥离</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lang w:eastAsia="zh-CN"/>
              </w:rPr>
              <w:t>。</w:t>
            </w:r>
          </w:p>
        </w:tc>
      </w:tr>
      <w:tr w14:paraId="2465D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749422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b/>
                <w:bCs/>
                <w:color w:val="009C46"/>
                <w:spacing w:val="0"/>
                <w:sz w:val="21"/>
                <w:szCs w:val="21"/>
              </w:rPr>
              <w:t>擅自开采（破坏）</w:t>
            </w:r>
            <w:r>
              <w:rPr>
                <w:rFonts w:hint="eastAsia" w:ascii="仿宋_GB2312" w:hAnsi="仿宋_GB2312" w:eastAsia="仿宋_GB2312" w:cs="仿宋_GB2312"/>
                <w:spacing w:val="0"/>
                <w:sz w:val="21"/>
                <w:szCs w:val="21"/>
              </w:rPr>
              <w:t>安全煤柱的。</w:t>
            </w:r>
          </w:p>
          <w:p w14:paraId="1CE6C349">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*明确“未经设计、安全论证和审批”的前提，增加钻探工程例外，明确安全煤柱范围</w:t>
            </w:r>
          </w:p>
        </w:tc>
        <w:tc>
          <w:tcPr>
            <w:tcW w:w="4501" w:type="dxa"/>
            <w:tcMar>
              <w:top w:w="57" w:type="dxa"/>
              <w:left w:w="57" w:type="dxa"/>
              <w:bottom w:w="57" w:type="dxa"/>
              <w:right w:w="57" w:type="dxa"/>
            </w:tcMar>
            <w:vAlign w:val="center"/>
          </w:tcPr>
          <w:p w14:paraId="1F0D8FF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b w:val="0"/>
                <w:bCs/>
                <w:color w:val="FF0000"/>
                <w:spacing w:val="0"/>
                <w:sz w:val="21"/>
                <w:szCs w:val="21"/>
              </w:rPr>
              <w:t>未经设计、安全论证和审批,</w:t>
            </w:r>
            <w:r>
              <w:rPr>
                <w:rFonts w:hint="eastAsia" w:ascii="黑体" w:hAnsi="黑体" w:eastAsia="黑体" w:cs="黑体"/>
                <w:b/>
                <w:bCs/>
                <w:color w:val="009C46"/>
                <w:spacing w:val="0"/>
                <w:sz w:val="21"/>
                <w:szCs w:val="21"/>
              </w:rPr>
              <w:t>探巷或者采掘工程直接进入《煤矿安全规程》和《建筑物、水体、铁路及主要井巷煤柱留设与压煤开采规范》规定留设的</w:t>
            </w:r>
            <w:r>
              <w:rPr>
                <w:rFonts w:hint="eastAsia" w:ascii="仿宋_GB2312" w:hAnsi="仿宋_GB2312" w:eastAsia="仿宋_GB2312" w:cs="仿宋_GB2312"/>
                <w:spacing w:val="0"/>
                <w:sz w:val="21"/>
                <w:szCs w:val="21"/>
              </w:rPr>
              <w:t>安全煤柱</w:t>
            </w:r>
            <w:r>
              <w:rPr>
                <w:rFonts w:hint="eastAsia" w:ascii="黑体" w:hAnsi="黑体" w:eastAsia="黑体" w:cs="黑体"/>
                <w:b w:val="0"/>
                <w:bCs/>
                <w:color w:val="FF0000"/>
                <w:spacing w:val="0"/>
                <w:sz w:val="21"/>
                <w:szCs w:val="21"/>
              </w:rPr>
              <w:t>,或者以其他形式（经设计、审批的钻探工程除外）对安全煤柱造成破坏</w:t>
            </w:r>
            <w:r>
              <w:rPr>
                <w:rFonts w:hint="eastAsia" w:ascii="仿宋_GB2312" w:hAnsi="仿宋_GB2312" w:eastAsia="仿宋_GB2312" w:cs="仿宋_GB2312"/>
                <w:spacing w:val="0"/>
                <w:sz w:val="21"/>
                <w:szCs w:val="21"/>
              </w:rPr>
              <w:t>。</w:t>
            </w:r>
          </w:p>
        </w:tc>
      </w:tr>
      <w:tr w14:paraId="48C6C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503215A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黑体" w:hAnsi="黑体" w:eastAsia="黑体" w:cs="黑体"/>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十</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“有严重水患,未采取有效措施”重大事故隐患,是指有下列情形之一的:</w:t>
            </w:r>
          </w:p>
        </w:tc>
      </w:tr>
      <w:tr w14:paraId="3CE6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5A782C7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（一）未查明矿井</w:t>
            </w:r>
            <w:r>
              <w:rPr>
                <w:rFonts w:hint="eastAsia" w:ascii="黑体" w:hAnsi="黑体" w:eastAsia="黑体" w:cs="黑体"/>
                <w:strike/>
                <w:dstrike w:val="0"/>
                <w:color w:val="0000FF"/>
                <w:spacing w:val="0"/>
                <w:sz w:val="21"/>
                <w:szCs w:val="21"/>
              </w:rPr>
              <w:t>水文地质条件和</w:t>
            </w:r>
            <w:r>
              <w:rPr>
                <w:rFonts w:hint="eastAsia" w:ascii="黑体" w:hAnsi="黑体" w:eastAsia="黑体" w:cs="黑体"/>
                <w:b/>
                <w:bCs/>
                <w:color w:val="009C46"/>
                <w:spacing w:val="0"/>
                <w:sz w:val="21"/>
                <w:szCs w:val="21"/>
              </w:rPr>
              <w:t>井田范围内采空区、废弃老窑积水</w:t>
            </w:r>
            <w:r>
              <w:rPr>
                <w:rFonts w:hint="eastAsia" w:ascii="黑体" w:hAnsi="黑体" w:eastAsia="黑体" w:cs="黑体"/>
                <w:strike/>
                <w:dstrike w:val="0"/>
                <w:color w:val="0000FF"/>
                <w:spacing w:val="0"/>
                <w:sz w:val="21"/>
                <w:szCs w:val="21"/>
              </w:rPr>
              <w:t>等情况而组织生产建设的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0D519AD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（一）未查明矿井</w:t>
            </w:r>
            <w:r>
              <w:rPr>
                <w:rFonts w:hint="eastAsia" w:ascii="黑体" w:hAnsi="黑体" w:eastAsia="黑体" w:cs="黑体"/>
                <w:b/>
                <w:bCs/>
                <w:color w:val="009C46"/>
                <w:spacing w:val="0"/>
                <w:sz w:val="21"/>
                <w:szCs w:val="21"/>
              </w:rPr>
              <w:t>生产建设采（盘）区内的主要充水水源、主要充水通道</w:t>
            </w:r>
            <w:r>
              <w:rPr>
                <w:rFonts w:hint="eastAsia" w:ascii="仿宋_GB2312" w:hAnsi="仿宋_GB2312" w:eastAsia="仿宋_GB2312" w:cs="仿宋_GB2312"/>
                <w:spacing w:val="0"/>
                <w:sz w:val="21"/>
                <w:szCs w:val="21"/>
              </w:rPr>
              <w:t>。</w:t>
            </w:r>
          </w:p>
        </w:tc>
      </w:tr>
      <w:tr w14:paraId="6F5E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5E921A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strike/>
                <w:dstrike w:val="0"/>
                <w:color w:val="0000FF"/>
                <w:spacing w:val="0"/>
                <w:sz w:val="21"/>
                <w:szCs w:val="21"/>
              </w:rPr>
              <w:t>水文地质类型复杂、极复杂的矿井未设置专门的防治水机构、未配备专门的探放水作业队伍，或者未配齐专用探放水设备的；</w:t>
            </w:r>
          </w:p>
        </w:tc>
        <w:tc>
          <w:tcPr>
            <w:tcW w:w="4501" w:type="dxa"/>
            <w:shd w:val="clear" w:color="auto" w:fill="auto"/>
            <w:tcMar>
              <w:top w:w="57" w:type="dxa"/>
              <w:left w:w="57" w:type="dxa"/>
              <w:bottom w:w="57" w:type="dxa"/>
              <w:right w:w="57" w:type="dxa"/>
            </w:tcMar>
            <w:vAlign w:val="center"/>
          </w:tcPr>
          <w:p w14:paraId="774A961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37018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70174AB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FF0000"/>
                <w:spacing w:val="0"/>
                <w:sz w:val="21"/>
                <w:szCs w:val="21"/>
                <w:lang w:val="en-US" w:eastAsia="zh-CN" w:bidi="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59FC701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b w:val="0"/>
                <w:bCs/>
                <w:color w:val="FF0000"/>
                <w:spacing w:val="0"/>
                <w:sz w:val="21"/>
                <w:szCs w:val="21"/>
              </w:rPr>
              <w:t>使用煤电钻、锚杆钻机、风锤等非专用钻机探放水（限压循环放水除外）。</w:t>
            </w:r>
          </w:p>
        </w:tc>
      </w:tr>
      <w:tr w14:paraId="1753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342C62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（三）在需要探放水的区域进行采掘作业未</w:t>
            </w:r>
            <w:r>
              <w:rPr>
                <w:rFonts w:hint="eastAsia" w:ascii="黑体" w:hAnsi="黑体" w:eastAsia="黑体" w:cs="黑体"/>
                <w:strike/>
                <w:dstrike w:val="0"/>
                <w:color w:val="0000FF"/>
                <w:spacing w:val="0"/>
                <w:sz w:val="21"/>
                <w:szCs w:val="21"/>
              </w:rPr>
              <w:t>按照国家规定</w:t>
            </w:r>
            <w:r>
              <w:rPr>
                <w:rFonts w:hint="eastAsia" w:ascii="仿宋_GB2312" w:hAnsi="仿宋_GB2312" w:eastAsia="仿宋_GB2312" w:cs="仿宋_GB2312"/>
                <w:spacing w:val="0"/>
                <w:sz w:val="21"/>
                <w:szCs w:val="21"/>
              </w:rPr>
              <w:t>进行探放水的；</w:t>
            </w:r>
          </w:p>
          <w:p w14:paraId="0F69C338">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*列明7类探放水区域采掘作业的具体区域</w:t>
            </w:r>
          </w:p>
        </w:tc>
        <w:tc>
          <w:tcPr>
            <w:tcW w:w="4501" w:type="dxa"/>
            <w:tcMar>
              <w:top w:w="57" w:type="dxa"/>
              <w:left w:w="57" w:type="dxa"/>
              <w:bottom w:w="57" w:type="dxa"/>
              <w:right w:w="57" w:type="dxa"/>
            </w:tcMar>
            <w:vAlign w:val="top"/>
          </w:tcPr>
          <w:p w14:paraId="101D8B6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（三）在下列需要探放水区域进行采掘作业未进行探放水的:</w:t>
            </w:r>
          </w:p>
          <w:p w14:paraId="73D49F1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1.接近（采掘工作面超过探水线或者进入防隔水煤〈岩〉柱位置,下同）水淹或者积水的井巷、老空区、相邻矿井时。</w:t>
            </w:r>
          </w:p>
          <w:p w14:paraId="21C9960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2.接近富水性中等以上含水层、导水断层、溶洞或者导水陷落柱时。</w:t>
            </w:r>
          </w:p>
          <w:p w14:paraId="7B6A526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3.打开隔离煤柱放水时。</w:t>
            </w:r>
          </w:p>
          <w:p w14:paraId="24EFA6E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4.接近与河流、湖泊、水库、蓄水池、水井等相通的导水通道时。</w:t>
            </w:r>
          </w:p>
          <w:p w14:paraId="37F02B0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5.接近出水的钻孔时。</w:t>
            </w:r>
          </w:p>
          <w:p w14:paraId="3943D6D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6.接近有积水的灌浆区时。</w:t>
            </w:r>
          </w:p>
          <w:p w14:paraId="23D1116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7.接近物探低阻异常区时。</w:t>
            </w:r>
          </w:p>
        </w:tc>
      </w:tr>
      <w:tr w14:paraId="0D3D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3CC619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64ED301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b w:val="0"/>
                <w:bCs/>
                <w:color w:val="FF0000"/>
                <w:spacing w:val="0"/>
                <w:sz w:val="21"/>
                <w:szCs w:val="21"/>
              </w:rPr>
              <w:t>探放水钻孔数量、层位及止水套管长度不符合下列规定之一的:</w:t>
            </w:r>
          </w:p>
          <w:p w14:paraId="1E61999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1.探放老空水和钻孔水,老空和钻孔位置清楚的,应当根据具体情况进行专门探放水设计,经煤矿总工程师批准实施;老空和钻孔位置不清楚的,探水钻孔成组布设,并在巷道前方的水平面和竖直面内呈扇形布置。</w:t>
            </w:r>
          </w:p>
          <w:p w14:paraId="1D743D7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探放老空水时,老空积水范围、积水量清楚的,根据水压大小、煤（岩）层厚度、强度等,在探放水设计中对止水套管长度作出具体规定,经煤矿总工程师批准实施;老空积水范围、积水量不清楚,近距离煤层开采或者地质构造不清楚的,探放水钻孔止水套管长度不得小于10m。</w:t>
            </w:r>
          </w:p>
          <w:p w14:paraId="0F39DB1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3.探查陷落柱等垂向构造时,应当同时采用物探、钻探两种方法,根据陷落柱的预测规模布孔,其中底板方向钻孔不少于3个,有异常时加密布孔,其探放水设计经煤矿总工程师批准实施。</w:t>
            </w:r>
          </w:p>
          <w:p w14:paraId="2CCCF5F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4.缩小防隔水煤（岩）柱的,工作面内或者其附近范围内钻孔间距不大于500m,且有2个以上钻孔控制含水层顶、底界面,查明含水层顶、底界面及含水层岩性组合、富水性等水文地质工程地质条件。</w:t>
            </w:r>
          </w:p>
        </w:tc>
      </w:tr>
      <w:tr w14:paraId="0311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230C589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center"/>
          </w:tcPr>
          <w:p w14:paraId="2EFF578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w:t>
            </w:r>
            <w:r>
              <w:rPr>
                <w:rFonts w:hint="eastAsia" w:ascii="黑体" w:hAnsi="黑体" w:eastAsia="黑体" w:cs="黑体"/>
                <w:b w:val="0"/>
                <w:bCs/>
                <w:color w:val="FF0000"/>
                <w:spacing w:val="0"/>
                <w:sz w:val="21"/>
                <w:szCs w:val="21"/>
              </w:rPr>
              <w:t>钻探、物探数据或者结论造假。</w:t>
            </w:r>
          </w:p>
        </w:tc>
      </w:tr>
      <w:tr w14:paraId="0692B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53FCC11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strike/>
                <w:dstrike w:val="0"/>
                <w:color w:val="0000FF"/>
                <w:spacing w:val="0"/>
                <w:sz w:val="21"/>
                <w:szCs w:val="21"/>
              </w:rPr>
              <w:t>未按照国家规定留设或者</w:t>
            </w:r>
            <w:r>
              <w:rPr>
                <w:rFonts w:hint="eastAsia" w:ascii="仿宋_GB2312" w:hAnsi="仿宋_GB2312" w:eastAsia="仿宋_GB2312" w:cs="仿宋_GB2312"/>
                <w:spacing w:val="0"/>
                <w:sz w:val="21"/>
                <w:szCs w:val="21"/>
              </w:rPr>
              <w:t>擅自开采（破坏）各种防隔水煤（岩）柱的；</w:t>
            </w:r>
          </w:p>
          <w:p w14:paraId="21B8FE57">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*(六)列明9种应留设防隔水煤(岩)柱的位置(含相邻矿井分界、风化带、地表水体下、老空积水、陷落柱等)</w:t>
            </w:r>
          </w:p>
          <w:p w14:paraId="1CB54161">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*(七)列明3项防隔水煤（岩）柱尺寸具体要求(≥20m等)</w:t>
            </w:r>
          </w:p>
          <w:p w14:paraId="42B03F14">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p>
        </w:tc>
        <w:tc>
          <w:tcPr>
            <w:tcW w:w="4501" w:type="dxa"/>
            <w:tcMar>
              <w:top w:w="57" w:type="dxa"/>
              <w:left w:w="57" w:type="dxa"/>
              <w:bottom w:w="57" w:type="dxa"/>
              <w:right w:w="57" w:type="dxa"/>
            </w:tcMar>
            <w:vAlign w:val="top"/>
          </w:tcPr>
          <w:p w14:paraId="2387376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（六）在下列位置（区域）未留设防隔水煤（岩）柱的:</w:t>
            </w:r>
          </w:p>
          <w:p w14:paraId="233B0DC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1.相邻矿井的分界处。</w:t>
            </w:r>
          </w:p>
          <w:p w14:paraId="1E7DB43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2.煤层露头风化带。</w:t>
            </w:r>
          </w:p>
          <w:p w14:paraId="00CF02E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3.地表水体、含水冲积层下或者水淹区域邻近地带。</w:t>
            </w:r>
          </w:p>
          <w:p w14:paraId="12B8662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4.与富水性强的含水层间存在水力联系的断层、裂隙带或者强导水断层接触的煤层。</w:t>
            </w:r>
          </w:p>
          <w:p w14:paraId="3A17168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5.有大量积水的老空。</w:t>
            </w:r>
          </w:p>
          <w:p w14:paraId="73786B7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6.导水、充水的陷落柱、岩溶洞穴或者地下暗河。</w:t>
            </w:r>
          </w:p>
          <w:p w14:paraId="21A3782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7.分区隔离开采边界。</w:t>
            </w:r>
          </w:p>
          <w:p w14:paraId="4773546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8.受保护的观测孔。</w:t>
            </w:r>
          </w:p>
          <w:p w14:paraId="77934B7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9.露天煤矿全部转为或者部分实施井工开采的露天开采区域。</w:t>
            </w:r>
          </w:p>
        </w:tc>
      </w:tr>
      <w:tr w14:paraId="2388D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316BA07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03FFE14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仿宋_GB2312" w:hAnsi="仿宋_GB2312" w:eastAsia="仿宋_GB2312" w:cs="仿宋_GB2312"/>
                <w:spacing w:val="0"/>
                <w:sz w:val="21"/>
                <w:szCs w:val="21"/>
              </w:rPr>
              <w:t>（七）</w:t>
            </w:r>
            <w:r>
              <w:rPr>
                <w:rFonts w:hint="eastAsia" w:ascii="黑体" w:hAnsi="黑体" w:eastAsia="黑体" w:cs="黑体"/>
                <w:b w:val="0"/>
                <w:bCs/>
                <w:color w:val="FF0000"/>
                <w:spacing w:val="0"/>
                <w:sz w:val="21"/>
                <w:szCs w:val="21"/>
              </w:rPr>
              <w:t>防隔水煤（岩）柱尺寸不符合下列规定之一的:</w:t>
            </w:r>
          </w:p>
          <w:p w14:paraId="0EB4620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1.防隔水煤（岩）柱尺寸不小于20m。</w:t>
            </w:r>
          </w:p>
          <w:p w14:paraId="1DC3AED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2.在富水性强以上含水层或者其他水淹区域下掘进时,防隔水煤（岩）柱的尺寸不小于巷道高度10倍。</w:t>
            </w:r>
          </w:p>
          <w:p w14:paraId="20A672A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3.在富水性强以上含水层或者其他水淹区域下回采时,防隔水煤（岩）柱的尺寸不小于最大导水裂隙带高度。</w:t>
            </w:r>
          </w:p>
        </w:tc>
      </w:tr>
      <w:tr w14:paraId="00A07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394CDA0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0BF0C1F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八</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随意变动防隔水煤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岩</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柱</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地质、水文地质条件发生变化,经煤矿企业主要负责人批准修改防隔水煤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岩</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柱尺寸的除外</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,或者在防隔水煤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岩</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柱中进行采掘活动</w:t>
            </w:r>
            <w:r>
              <w:rPr>
                <w:rFonts w:hint="eastAsia" w:ascii="黑体" w:hAnsi="黑体" w:eastAsia="黑体" w:cs="黑体"/>
                <w:b w:val="0"/>
                <w:bCs/>
                <w:color w:val="FF0000"/>
                <w:spacing w:val="0"/>
                <w:sz w:val="21"/>
                <w:szCs w:val="21"/>
                <w:lang w:eastAsia="zh-CN"/>
              </w:rPr>
              <w:t>。</w:t>
            </w:r>
          </w:p>
        </w:tc>
      </w:tr>
      <w:tr w14:paraId="4F6CC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27C19AB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5367909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九</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以“探巷”等名义进入或者在采掘活动中破坏防隔水煤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岩</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柱</w:t>
            </w:r>
            <w:r>
              <w:rPr>
                <w:rFonts w:hint="eastAsia" w:ascii="黑体" w:hAnsi="黑体" w:eastAsia="黑体" w:cs="黑体"/>
                <w:b w:val="0"/>
                <w:bCs/>
                <w:color w:val="FF0000"/>
                <w:spacing w:val="0"/>
                <w:sz w:val="21"/>
                <w:szCs w:val="21"/>
                <w:lang w:eastAsia="zh-CN"/>
              </w:rPr>
              <w:t>。</w:t>
            </w:r>
          </w:p>
        </w:tc>
      </w:tr>
      <w:tr w14:paraId="720A2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FD247C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（五）有突（透、溃）水征兆未撤出井下所有受水患威胁地点人员的；</w:t>
            </w:r>
          </w:p>
        </w:tc>
        <w:tc>
          <w:tcPr>
            <w:tcW w:w="4501" w:type="dxa"/>
            <w:tcMar>
              <w:top w:w="57" w:type="dxa"/>
              <w:left w:w="57" w:type="dxa"/>
              <w:bottom w:w="57" w:type="dxa"/>
              <w:right w:w="57" w:type="dxa"/>
            </w:tcMar>
            <w:vAlign w:val="top"/>
          </w:tcPr>
          <w:p w14:paraId="5F3E698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（十）有透（突、溃）水征兆未撤出所有受水患威胁地点人员。</w:t>
            </w:r>
          </w:p>
        </w:tc>
      </w:tr>
      <w:tr w14:paraId="185AA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7F086E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（六）受地表水倒灌威胁的矿井在强降雨天气或其来水上游发生洪水期间未实施停产撤人的；</w:t>
            </w:r>
          </w:p>
        </w:tc>
        <w:tc>
          <w:tcPr>
            <w:tcW w:w="4501" w:type="dxa"/>
            <w:shd w:val="clear" w:color="auto" w:fill="auto"/>
            <w:tcMar>
              <w:top w:w="57" w:type="dxa"/>
              <w:left w:w="57" w:type="dxa"/>
              <w:bottom w:w="57" w:type="dxa"/>
              <w:right w:w="57" w:type="dxa"/>
            </w:tcMar>
            <w:vAlign w:val="center"/>
          </w:tcPr>
          <w:p w14:paraId="1368D4C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2775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7A3E40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（七）建设矿井进入三期工程</w:t>
            </w:r>
            <w:r>
              <w:rPr>
                <w:rFonts w:hint="eastAsia" w:ascii="黑体" w:hAnsi="黑体" w:eastAsia="黑体" w:cs="黑体"/>
                <w:b/>
                <w:bCs/>
                <w:color w:val="009C46"/>
                <w:spacing w:val="0"/>
                <w:sz w:val="21"/>
                <w:szCs w:val="21"/>
              </w:rPr>
              <w:t>前</w:t>
            </w:r>
            <w:r>
              <w:rPr>
                <w:rFonts w:hint="eastAsia" w:ascii="仿宋_GB2312" w:hAnsi="仿宋_GB2312" w:eastAsia="仿宋_GB2312" w:cs="仿宋_GB2312"/>
                <w:spacing w:val="0"/>
                <w:sz w:val="21"/>
                <w:szCs w:val="21"/>
              </w:rPr>
              <w:t>，未按照设计建成永久排水系统，或者生产矿井延深到设计水平时，</w:t>
            </w:r>
            <w:r>
              <w:rPr>
                <w:rFonts w:hint="eastAsia" w:ascii="黑体" w:hAnsi="黑体" w:eastAsia="黑体" w:cs="黑体"/>
                <w:strike/>
                <w:dstrike w:val="0"/>
                <w:color w:val="0000FF"/>
                <w:spacing w:val="0"/>
                <w:sz w:val="21"/>
                <w:szCs w:val="21"/>
              </w:rPr>
              <w:t>未建成防、排水系统而违规</w:t>
            </w:r>
            <w:r>
              <w:rPr>
                <w:rFonts w:hint="eastAsia" w:ascii="黑体" w:hAnsi="黑体" w:eastAsia="黑体" w:cs="黑体"/>
                <w:b/>
                <w:bCs/>
                <w:color w:val="009C46"/>
                <w:spacing w:val="0"/>
                <w:sz w:val="21"/>
                <w:szCs w:val="21"/>
              </w:rPr>
              <w:t>开拓掘进的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7274233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（十一）建设矿井进入三期工程</w:t>
            </w:r>
            <w:r>
              <w:rPr>
                <w:rFonts w:hint="eastAsia" w:ascii="黑体" w:hAnsi="黑体" w:eastAsia="黑体" w:cs="黑体"/>
                <w:b/>
                <w:bCs/>
                <w:color w:val="009C46"/>
                <w:spacing w:val="0"/>
                <w:sz w:val="21"/>
                <w:szCs w:val="21"/>
              </w:rPr>
              <w:t>时</w:t>
            </w:r>
            <w:r>
              <w:rPr>
                <w:rFonts w:hint="eastAsia" w:ascii="仿宋_GB2312" w:hAnsi="仿宋_GB2312" w:eastAsia="仿宋_GB2312" w:cs="仿宋_GB2312"/>
                <w:spacing w:val="0"/>
                <w:sz w:val="21"/>
                <w:szCs w:val="21"/>
              </w:rPr>
              <w:t>或者生产矿井延深到设计水平时,未按照设计建成永久排水系统</w:t>
            </w:r>
            <w:r>
              <w:rPr>
                <w:rFonts w:hint="eastAsia" w:ascii="黑体" w:hAnsi="黑体" w:eastAsia="黑体" w:cs="黑体"/>
                <w:b/>
                <w:bCs/>
                <w:color w:val="009C46"/>
                <w:spacing w:val="0"/>
                <w:sz w:val="21"/>
                <w:szCs w:val="21"/>
              </w:rPr>
              <w:t>掘进采区巷道</w:t>
            </w:r>
            <w:r>
              <w:rPr>
                <w:rFonts w:hint="eastAsia" w:ascii="仿宋_GB2312" w:hAnsi="仿宋_GB2312" w:eastAsia="仿宋_GB2312" w:cs="仿宋_GB2312"/>
                <w:spacing w:val="0"/>
                <w:sz w:val="21"/>
                <w:szCs w:val="21"/>
              </w:rPr>
              <w:t>。</w:t>
            </w:r>
          </w:p>
        </w:tc>
      </w:tr>
      <w:tr w14:paraId="7065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111FC61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zh-CN" w:eastAsia="zh-CN" w:bidi="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094E462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（十二）</w:t>
            </w:r>
            <w:r>
              <w:rPr>
                <w:rFonts w:hint="eastAsia" w:ascii="黑体" w:hAnsi="黑体" w:eastAsia="黑体" w:cs="黑体"/>
                <w:b w:val="0"/>
                <w:bCs/>
                <w:color w:val="FF0000"/>
                <w:spacing w:val="0"/>
                <w:sz w:val="21"/>
                <w:szCs w:val="21"/>
              </w:rPr>
              <w:t>下山采区未形成完整的排水系统前,掘进回采巷道。</w:t>
            </w:r>
          </w:p>
        </w:tc>
      </w:tr>
      <w:tr w14:paraId="67F0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6AD2FA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（八）矿井主要排水系统水泵排水能力、管路和水仓容量不符合《煤矿安全规程》规定的；</w:t>
            </w:r>
          </w:p>
        </w:tc>
        <w:tc>
          <w:tcPr>
            <w:tcW w:w="4501" w:type="dxa"/>
            <w:tcMar>
              <w:top w:w="57" w:type="dxa"/>
              <w:left w:w="57" w:type="dxa"/>
              <w:bottom w:w="57" w:type="dxa"/>
              <w:right w:w="57" w:type="dxa"/>
            </w:tcMar>
            <w:vAlign w:val="top"/>
          </w:tcPr>
          <w:p w14:paraId="6BC9C3A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矿井主要排水系统水泵排水能力、管路</w:t>
            </w:r>
            <w:r>
              <w:rPr>
                <w:rFonts w:hint="eastAsia" w:ascii="黑体" w:hAnsi="黑体" w:eastAsia="黑体" w:cs="黑体"/>
                <w:b w:val="0"/>
                <w:bCs/>
                <w:color w:val="FF0000"/>
                <w:spacing w:val="0"/>
                <w:sz w:val="21"/>
                <w:szCs w:val="21"/>
              </w:rPr>
              <w:t>排水能力</w:t>
            </w:r>
            <w:r>
              <w:rPr>
                <w:rFonts w:hint="eastAsia" w:ascii="仿宋_GB2312" w:hAnsi="仿宋_GB2312" w:eastAsia="仿宋_GB2312" w:cs="仿宋_GB2312"/>
                <w:spacing w:val="0"/>
                <w:sz w:val="21"/>
                <w:szCs w:val="21"/>
              </w:rPr>
              <w:t>和</w:t>
            </w:r>
            <w:r>
              <w:rPr>
                <w:rFonts w:hint="eastAsia" w:ascii="黑体" w:hAnsi="黑体" w:eastAsia="黑体" w:cs="黑体"/>
                <w:b w:val="0"/>
                <w:bCs/>
                <w:color w:val="FF0000"/>
                <w:spacing w:val="0"/>
                <w:sz w:val="21"/>
                <w:szCs w:val="21"/>
              </w:rPr>
              <w:t>主要</w:t>
            </w:r>
            <w:r>
              <w:rPr>
                <w:rFonts w:hint="eastAsia" w:ascii="仿宋_GB2312" w:hAnsi="仿宋_GB2312" w:eastAsia="仿宋_GB2312" w:cs="仿宋_GB2312"/>
                <w:spacing w:val="0"/>
                <w:sz w:val="21"/>
                <w:szCs w:val="21"/>
              </w:rPr>
              <w:t>水仓容量不符合《煤矿安全规程》规定</w:t>
            </w:r>
            <w:r>
              <w:rPr>
                <w:rFonts w:hint="eastAsia" w:ascii="仿宋_GB2312" w:hAnsi="仿宋_GB2312" w:eastAsia="仿宋_GB2312" w:cs="仿宋_GB2312"/>
                <w:spacing w:val="0"/>
                <w:sz w:val="21"/>
                <w:szCs w:val="21"/>
                <w:lang w:eastAsia="zh-CN"/>
              </w:rPr>
              <w:t>。</w:t>
            </w:r>
          </w:p>
        </w:tc>
      </w:tr>
      <w:tr w14:paraId="7203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FBE9C0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（九）开采地表水体、老空水淹区域或者强含水层下急倾斜煤层，未</w:t>
            </w:r>
            <w:r>
              <w:rPr>
                <w:rFonts w:hint="eastAsia" w:ascii="黑体" w:hAnsi="黑体" w:eastAsia="黑体" w:cs="黑体"/>
                <w:b/>
                <w:bCs/>
                <w:color w:val="009C46"/>
                <w:spacing w:val="0"/>
                <w:sz w:val="21"/>
                <w:szCs w:val="21"/>
              </w:rPr>
              <w:t>按照国家规定</w:t>
            </w:r>
            <w:r>
              <w:rPr>
                <w:rFonts w:hint="eastAsia" w:ascii="仿宋_GB2312" w:hAnsi="仿宋_GB2312" w:eastAsia="仿宋_GB2312" w:cs="仿宋_GB2312"/>
                <w:spacing w:val="0"/>
                <w:sz w:val="21"/>
                <w:szCs w:val="21"/>
              </w:rPr>
              <w:t>消除水患威胁的。</w:t>
            </w:r>
          </w:p>
          <w:p w14:paraId="14C3A934">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*列明3种消除水患的具体措施（地表水体迁移等）</w:t>
            </w:r>
          </w:p>
        </w:tc>
        <w:tc>
          <w:tcPr>
            <w:tcW w:w="4501" w:type="dxa"/>
            <w:tcMar>
              <w:top w:w="57" w:type="dxa"/>
              <w:left w:w="57" w:type="dxa"/>
              <w:bottom w:w="57" w:type="dxa"/>
              <w:right w:w="57" w:type="dxa"/>
            </w:tcMar>
            <w:vAlign w:val="top"/>
          </w:tcPr>
          <w:p w14:paraId="3EB5DE4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十四</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开采地表水体、老空水淹区域或者强含水层下急倾斜煤层,未</w:t>
            </w:r>
            <w:r>
              <w:rPr>
                <w:rFonts w:hint="eastAsia" w:ascii="黑体" w:hAnsi="黑体" w:eastAsia="黑体" w:cs="黑体"/>
                <w:b/>
                <w:bCs/>
                <w:color w:val="009C46"/>
                <w:spacing w:val="0"/>
                <w:sz w:val="21"/>
                <w:szCs w:val="21"/>
              </w:rPr>
              <w:t>采用地表水体迁移</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rPr>
              <w:t>改道、排干</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rPr>
              <w:t>、疏干老空水、注浆改造</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rPr>
              <w:t>截流</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rPr>
              <w:t>等措施改变其水文地质性质、</w:t>
            </w:r>
            <w:r>
              <w:rPr>
                <w:rFonts w:hint="eastAsia" w:ascii="仿宋_GB2312" w:hAnsi="仿宋_GB2312" w:eastAsia="仿宋_GB2312" w:cs="仿宋_GB2312"/>
                <w:spacing w:val="0"/>
                <w:sz w:val="21"/>
                <w:szCs w:val="21"/>
              </w:rPr>
              <w:t>消除水患威胁</w:t>
            </w:r>
            <w:r>
              <w:rPr>
                <w:rFonts w:hint="eastAsia" w:ascii="仿宋_GB2312" w:hAnsi="仿宋_GB2312" w:eastAsia="仿宋_GB2312" w:cs="仿宋_GB2312"/>
                <w:spacing w:val="0"/>
                <w:sz w:val="21"/>
                <w:szCs w:val="21"/>
                <w:lang w:eastAsia="zh-CN"/>
              </w:rPr>
              <w:t>。</w:t>
            </w:r>
          </w:p>
        </w:tc>
      </w:tr>
      <w:tr w14:paraId="13613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066578C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09C6B4F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十五</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受离层水威胁的采煤工作面,未采取措施破坏离层空间的封闭性、超前疏放离层水或者预先疏放离层的补给水源</w:t>
            </w:r>
            <w:r>
              <w:rPr>
                <w:rFonts w:hint="eastAsia" w:ascii="黑体" w:hAnsi="黑体" w:eastAsia="黑体" w:cs="黑体"/>
                <w:b w:val="0"/>
                <w:bCs/>
                <w:color w:val="FF0000"/>
                <w:spacing w:val="0"/>
                <w:sz w:val="21"/>
                <w:szCs w:val="21"/>
                <w:lang w:eastAsia="zh-CN"/>
              </w:rPr>
              <w:t>。</w:t>
            </w:r>
          </w:p>
        </w:tc>
      </w:tr>
      <w:tr w14:paraId="4592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2890A33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zh-CN" w:eastAsia="zh-CN" w:bidi="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27E8275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十六</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受火烧区水威胁的采掘工作面,未采取探放水或者隔离措施</w:t>
            </w:r>
            <w:r>
              <w:rPr>
                <w:rFonts w:hint="eastAsia" w:ascii="黑体" w:hAnsi="黑体" w:eastAsia="黑体" w:cs="黑体"/>
                <w:b w:val="0"/>
                <w:bCs/>
                <w:color w:val="FF0000"/>
                <w:spacing w:val="0"/>
                <w:sz w:val="21"/>
                <w:szCs w:val="21"/>
                <w:lang w:eastAsia="zh-CN"/>
              </w:rPr>
              <w:t>。</w:t>
            </w:r>
          </w:p>
        </w:tc>
      </w:tr>
      <w:tr w14:paraId="211EE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62AD6F1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黑体" w:hAnsi="黑体" w:eastAsia="黑体" w:cs="黑体"/>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十一</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“有冲击地压危险,未采取有效措施”重大事故隐患,是指有下列情形之一的:</w:t>
            </w:r>
          </w:p>
        </w:tc>
      </w:tr>
      <w:tr w14:paraId="7787D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shd w:val="clear" w:color="auto" w:fill="auto"/>
            <w:tcMar>
              <w:top w:w="57" w:type="dxa"/>
              <w:left w:w="57" w:type="dxa"/>
              <w:bottom w:w="57" w:type="dxa"/>
              <w:right w:w="57" w:type="dxa"/>
            </w:tcMar>
            <w:vAlign w:val="top"/>
          </w:tcPr>
          <w:p w14:paraId="7D223EC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zh-CN" w:eastAsia="zh-CN" w:bidi="zh-CN"/>
              </w:rPr>
            </w:pPr>
            <w:r>
              <w:rPr>
                <w:rFonts w:hint="eastAsia" w:ascii="仿宋_GB2312" w:hAnsi="仿宋_GB2312" w:eastAsia="仿宋_GB2312" w:cs="仿宋_GB2312"/>
                <w:spacing w:val="0"/>
                <w:sz w:val="21"/>
                <w:szCs w:val="21"/>
              </w:rPr>
              <w:t>（一）</w:t>
            </w:r>
            <w:r>
              <w:rPr>
                <w:rFonts w:hint="eastAsia" w:ascii="黑体" w:hAnsi="黑体" w:eastAsia="黑体" w:cs="黑体"/>
                <w:b/>
                <w:bCs/>
                <w:color w:val="009C46"/>
                <w:spacing w:val="0"/>
                <w:sz w:val="21"/>
                <w:szCs w:val="21"/>
              </w:rPr>
              <w:t>未按照国家规定</w:t>
            </w:r>
            <w:r>
              <w:rPr>
                <w:rFonts w:hint="eastAsia" w:ascii="仿宋_GB2312" w:hAnsi="仿宋_GB2312" w:eastAsia="仿宋_GB2312" w:cs="仿宋_GB2312"/>
                <w:spacing w:val="0"/>
                <w:sz w:val="21"/>
                <w:szCs w:val="21"/>
              </w:rPr>
              <w:t>进行煤层（岩层）冲击倾向性鉴定，</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开采有冲击倾向性煤层未进行冲击危险性评价，</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开采冲击地压煤层，未进行采区、采掘工作面冲击危险性评价的；</w:t>
            </w:r>
          </w:p>
        </w:tc>
        <w:tc>
          <w:tcPr>
            <w:tcW w:w="4501" w:type="dxa"/>
            <w:tcMar>
              <w:top w:w="57" w:type="dxa"/>
              <w:left w:w="57" w:type="dxa"/>
              <w:bottom w:w="57" w:type="dxa"/>
              <w:right w:w="57" w:type="dxa"/>
            </w:tcMar>
            <w:vAlign w:val="top"/>
          </w:tcPr>
          <w:p w14:paraId="0E8933C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w:t>
            </w:r>
            <w:r>
              <w:rPr>
                <w:rFonts w:hint="eastAsia" w:ascii="黑体" w:hAnsi="黑体" w:eastAsia="黑体" w:cs="黑体"/>
                <w:b/>
                <w:bCs/>
                <w:color w:val="009C46"/>
                <w:spacing w:val="0"/>
                <w:sz w:val="21"/>
                <w:szCs w:val="21"/>
              </w:rPr>
              <w:t>未按照《煤矿安全规程》规定</w:t>
            </w:r>
            <w:r>
              <w:rPr>
                <w:rFonts w:hint="eastAsia" w:ascii="仿宋_GB2312" w:hAnsi="仿宋_GB2312" w:eastAsia="仿宋_GB2312" w:cs="仿宋_GB2312"/>
                <w:spacing w:val="0"/>
                <w:sz w:val="21"/>
                <w:szCs w:val="21"/>
              </w:rPr>
              <w:t>开展冲击地压灾害等级鉴定</w:t>
            </w:r>
            <w:r>
              <w:rPr>
                <w:rFonts w:hint="eastAsia" w:ascii="黑体" w:hAnsi="黑体" w:eastAsia="黑体" w:cs="黑体"/>
                <w:b w:val="0"/>
                <w:bCs/>
                <w:color w:val="FF0000"/>
                <w:spacing w:val="0"/>
                <w:sz w:val="21"/>
                <w:szCs w:val="21"/>
              </w:rPr>
              <w:t>,或者冲击地压灾害等级鉴定弄虚作假</w:t>
            </w:r>
            <w:r>
              <w:rPr>
                <w:rFonts w:hint="eastAsia" w:ascii="仿宋_GB2312" w:hAnsi="仿宋_GB2312" w:eastAsia="仿宋_GB2312" w:cs="仿宋_GB2312"/>
                <w:spacing w:val="0"/>
                <w:sz w:val="21"/>
                <w:szCs w:val="21"/>
              </w:rPr>
              <w:t>。</w:t>
            </w:r>
          </w:p>
        </w:tc>
      </w:tr>
      <w:tr w14:paraId="0C31F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61B590F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0E2749D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开采有冲击倾向性煤层未进行冲击危险性评价</w:t>
            </w:r>
            <w:r>
              <w:rPr>
                <w:rFonts w:hint="eastAsia" w:ascii="仿宋_GB2312" w:hAnsi="仿宋_GB2312" w:eastAsia="仿宋_GB2312" w:cs="仿宋_GB2312"/>
                <w:spacing w:val="0"/>
                <w:sz w:val="21"/>
                <w:szCs w:val="21"/>
                <w:lang w:eastAsia="zh-CN"/>
              </w:rPr>
              <w:t>。</w:t>
            </w:r>
          </w:p>
        </w:tc>
      </w:tr>
      <w:tr w14:paraId="681E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29BAC1B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7151198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开采冲击地压煤层未进行采</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盘</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区、采掘工作面冲击危险性评价</w:t>
            </w:r>
            <w:r>
              <w:rPr>
                <w:rFonts w:hint="eastAsia" w:ascii="仿宋_GB2312" w:hAnsi="仿宋_GB2312" w:eastAsia="仿宋_GB2312" w:cs="仿宋_GB2312"/>
                <w:spacing w:val="0"/>
                <w:sz w:val="21"/>
                <w:szCs w:val="21"/>
                <w:lang w:eastAsia="zh-CN"/>
              </w:rPr>
              <w:t>。</w:t>
            </w:r>
          </w:p>
        </w:tc>
      </w:tr>
      <w:tr w14:paraId="3D65B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76393DD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13DCB1A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四</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煤层、采</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盘</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区、采掘工作面冲击危险性评价弄虚作假</w:t>
            </w:r>
            <w:r>
              <w:rPr>
                <w:rFonts w:hint="eastAsia" w:ascii="黑体" w:hAnsi="黑体" w:eastAsia="黑体" w:cs="黑体"/>
                <w:b w:val="0"/>
                <w:bCs/>
                <w:color w:val="FF0000"/>
                <w:spacing w:val="0"/>
                <w:sz w:val="21"/>
                <w:szCs w:val="21"/>
                <w:lang w:eastAsia="zh-CN"/>
              </w:rPr>
              <w:t>。</w:t>
            </w:r>
          </w:p>
        </w:tc>
      </w:tr>
      <w:tr w14:paraId="68F2B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4501" w:type="dxa"/>
            <w:tcMar>
              <w:top w:w="57" w:type="dxa"/>
              <w:left w:w="57" w:type="dxa"/>
              <w:bottom w:w="57" w:type="dxa"/>
              <w:right w:w="57" w:type="dxa"/>
            </w:tcMar>
            <w:vAlign w:val="top"/>
          </w:tcPr>
          <w:p w14:paraId="64939C7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（二）有冲击地压危险的矿井未设置专门的防冲机构、未配备专业人员或者未编制专门设计的；</w:t>
            </w:r>
          </w:p>
        </w:tc>
        <w:tc>
          <w:tcPr>
            <w:tcW w:w="4501" w:type="dxa"/>
            <w:shd w:val="clear" w:color="auto" w:fill="auto"/>
            <w:tcMar>
              <w:top w:w="57" w:type="dxa"/>
              <w:left w:w="57" w:type="dxa"/>
              <w:bottom w:w="57" w:type="dxa"/>
              <w:right w:w="57" w:type="dxa"/>
            </w:tcMar>
            <w:vAlign w:val="center"/>
          </w:tcPr>
          <w:p w14:paraId="6FAB563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09DA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01305D6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756CD8C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w:t>
            </w:r>
            <w:r>
              <w:rPr>
                <w:rFonts w:hint="eastAsia" w:ascii="黑体" w:hAnsi="黑体" w:eastAsia="黑体" w:cs="黑体"/>
                <w:b w:val="0"/>
                <w:bCs/>
                <w:color w:val="FF0000"/>
                <w:spacing w:val="0"/>
                <w:sz w:val="21"/>
                <w:szCs w:val="21"/>
              </w:rPr>
              <w:t>当区域、作业地点监测数据超过冲击地压危险预警临界指标或者采掘作业地点出现强烈震动、巨响、瞬间底（帮）鼓、煤岩弹射等动力现象,判定有冲击地压危险时,未停止预警地点作业,未按照防冲专项措施将人员撤出到规定区域,或者预警后经分析研判有冲击地压危险的采掘作业区域,未采取钻孔卸压或者爆破卸压等卸压解危措施,仍进行采掘作业</w:t>
            </w:r>
            <w:r>
              <w:rPr>
                <w:rFonts w:hint="eastAsia" w:ascii="仿宋_GB2312" w:hAnsi="仿宋_GB2312" w:eastAsia="仿宋_GB2312" w:cs="仿宋_GB2312"/>
                <w:spacing w:val="0"/>
                <w:sz w:val="21"/>
                <w:szCs w:val="21"/>
              </w:rPr>
              <w:t>。</w:t>
            </w:r>
          </w:p>
        </w:tc>
      </w:tr>
      <w:tr w14:paraId="0270C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A0D0F4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strike/>
                <w:dstrike w:val="0"/>
                <w:color w:val="0000FF"/>
                <w:spacing w:val="0"/>
                <w:sz w:val="21"/>
                <w:szCs w:val="21"/>
              </w:rPr>
              <w:t>未进行冲击地压危险性预测，或者</w:t>
            </w:r>
            <w:r>
              <w:rPr>
                <w:rFonts w:hint="eastAsia" w:ascii="黑体" w:hAnsi="黑体" w:eastAsia="黑体" w:cs="黑体"/>
                <w:b/>
                <w:bCs/>
                <w:color w:val="009C46"/>
                <w:spacing w:val="0"/>
                <w:sz w:val="21"/>
                <w:szCs w:val="21"/>
              </w:rPr>
              <w:t>未进行防冲措施效果检验以及防冲措施效果检验不达标</w:t>
            </w:r>
            <w:r>
              <w:rPr>
                <w:rFonts w:hint="eastAsia" w:ascii="黑体" w:hAnsi="黑体" w:eastAsia="黑体" w:cs="黑体"/>
                <w:b/>
                <w:bCs/>
                <w:color w:val="009C46"/>
                <w:spacing w:val="0"/>
                <w:sz w:val="21"/>
                <w:szCs w:val="21"/>
                <w:vertAlign w:val="superscript"/>
                <w:lang w:val="en-US" w:eastAsia="zh-CN"/>
              </w:rPr>
              <w:t>①</w:t>
            </w:r>
            <w:r>
              <w:rPr>
                <w:rFonts w:hint="eastAsia" w:ascii="黑体" w:hAnsi="黑体" w:eastAsia="黑体" w:cs="黑体"/>
                <w:b/>
                <w:bCs/>
                <w:color w:val="00B050"/>
                <w:spacing w:val="0"/>
                <w:sz w:val="21"/>
                <w:szCs w:val="21"/>
                <w:vertAlign w:val="superscript"/>
                <w:lang w:val="en-US" w:eastAsia="zh-CN"/>
              </w:rPr>
              <w:t xml:space="preserve"> </w:t>
            </w:r>
            <w:r>
              <w:rPr>
                <w:rFonts w:hint="eastAsia" w:ascii="黑体" w:hAnsi="黑体" w:eastAsia="黑体" w:cs="黑体"/>
                <w:b/>
                <w:bCs/>
                <w:color w:val="009C46"/>
                <w:spacing w:val="0"/>
                <w:sz w:val="21"/>
                <w:szCs w:val="21"/>
              </w:rPr>
              <w:t>仍组织生产建设的</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w:t>
            </w:r>
          </w:p>
          <w:p w14:paraId="2F5D8E2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bCs/>
                <w:color w:val="E46C0A" w:themeColor="accent6" w:themeShade="BF"/>
                <w:spacing w:val="0"/>
                <w:sz w:val="18"/>
                <w:szCs w:val="18"/>
                <w:lang w:val="en-US" w:eastAsia="zh-CN"/>
              </w:rPr>
              <w:t>*从“未预测/未检验”变为具体的“超预警→停止→撒人→卸压”流程</w:t>
            </w:r>
          </w:p>
        </w:tc>
        <w:tc>
          <w:tcPr>
            <w:tcW w:w="4501" w:type="dxa"/>
            <w:tcMar>
              <w:top w:w="57" w:type="dxa"/>
              <w:left w:w="57" w:type="dxa"/>
              <w:bottom w:w="57" w:type="dxa"/>
              <w:right w:w="57" w:type="dxa"/>
            </w:tcMar>
            <w:vAlign w:val="top"/>
          </w:tcPr>
          <w:p w14:paraId="0DFADF5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（六）</w:t>
            </w:r>
            <w:r>
              <w:rPr>
                <w:rFonts w:hint="eastAsia" w:ascii="黑体" w:hAnsi="黑体" w:eastAsia="黑体" w:cs="黑体"/>
                <w:b w:val="0"/>
                <w:bCs/>
                <w:color w:val="FF0000"/>
                <w:spacing w:val="0"/>
                <w:sz w:val="21"/>
                <w:szCs w:val="21"/>
              </w:rPr>
              <w:t>冲击地压危险区域、冲击地压危险工作面实施解危措施后</w:t>
            </w:r>
            <w:r>
              <w:rPr>
                <w:rFonts w:hint="eastAsia" w:ascii="黑体" w:hAnsi="黑体" w:eastAsia="黑体" w:cs="黑体"/>
                <w:b/>
                <w:bCs/>
                <w:color w:val="009C46"/>
                <w:spacing w:val="0"/>
                <w:sz w:val="21"/>
                <w:szCs w:val="21"/>
              </w:rPr>
              <w:t>未进行效果检验或者检验结果超过预警临界指标</w:t>
            </w:r>
            <w:r>
              <w:rPr>
                <w:rFonts w:hint="eastAsia" w:ascii="黑体" w:hAnsi="黑体" w:eastAsia="黑体" w:cs="黑体"/>
                <w:b/>
                <w:bCs/>
                <w:color w:val="009C46"/>
                <w:spacing w:val="0"/>
                <w:sz w:val="21"/>
                <w:szCs w:val="21"/>
                <w:vertAlign w:val="superscript"/>
                <w:lang w:val="en-US" w:eastAsia="zh-CN"/>
              </w:rPr>
              <w:t>①</w:t>
            </w:r>
            <w:r>
              <w:rPr>
                <w:rFonts w:hint="eastAsia" w:ascii="黑体" w:hAnsi="黑体" w:eastAsia="黑体" w:cs="黑体"/>
                <w:b/>
                <w:bCs/>
                <w:color w:val="00B050"/>
                <w:spacing w:val="0"/>
                <w:sz w:val="21"/>
                <w:szCs w:val="21"/>
                <w:vertAlign w:val="superscript"/>
                <w:lang w:val="en-US" w:eastAsia="zh-CN"/>
              </w:rPr>
              <w:t xml:space="preserve"> </w:t>
            </w:r>
            <w:r>
              <w:rPr>
                <w:rFonts w:hint="eastAsia" w:ascii="黑体" w:hAnsi="黑体" w:eastAsia="黑体" w:cs="黑体"/>
                <w:b/>
                <w:bCs/>
                <w:color w:val="009C46"/>
                <w:spacing w:val="0"/>
                <w:sz w:val="21"/>
                <w:szCs w:val="21"/>
              </w:rPr>
              <w:t>仍进行采掘作业</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w:t>
            </w:r>
          </w:p>
        </w:tc>
      </w:tr>
      <w:tr w14:paraId="7CE3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904DFE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（四）开采冲击地压煤层时，违规开采孤岛煤柱，采掘工作面位置、间距不符合国家规定，或者开采顺序不合理、采掘速度不符合国家规定、违反国家规定布置巷道或者留设煤（岩）柱造成应力集中的；</w:t>
            </w:r>
          </w:p>
          <w:p w14:paraId="750232DE">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default"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*具体量化开采冲击地压煤层10各方面判定情形</w:t>
            </w:r>
          </w:p>
          <w:p w14:paraId="23F5679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3413811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（七）开采冲击地压煤层</w:t>
            </w:r>
            <w:r>
              <w:rPr>
                <w:rFonts w:hint="eastAsia" w:ascii="黑体" w:hAnsi="黑体" w:eastAsia="黑体" w:cs="黑体"/>
                <w:b w:val="0"/>
                <w:bCs/>
                <w:color w:val="FF0000"/>
                <w:spacing w:val="0"/>
                <w:sz w:val="21"/>
                <w:szCs w:val="21"/>
              </w:rPr>
              <w:t>存在下列情形之一的:</w:t>
            </w:r>
          </w:p>
          <w:p w14:paraId="1ACD25B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1.同一煤层开采时,未按照确定的顺序开采,留设孤岛煤柱。</w:t>
            </w:r>
          </w:p>
          <w:p w14:paraId="70206E4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2.采空区内留有煤柱（特殊情况下,经安全性论证,由煤矿企业技术负责人批准的除外）。</w:t>
            </w:r>
          </w:p>
          <w:p w14:paraId="66E11E9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3.强冲击地压煤层开采孤岛煤柱。</w:t>
            </w:r>
          </w:p>
          <w:p w14:paraId="2A753A6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4.中等以下冲击地压煤层开采孤岛煤柱时,未进行防冲安全性论证,或者防冲安全性论证结果为不能保障安全开采,或者未落实防冲安全性论证报告明确的卸压、支护等措施进行采掘作业。</w:t>
            </w:r>
          </w:p>
          <w:p w14:paraId="7BA3B31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5.新建开拓巷道、新建准备巷道布置在强冲击地压煤层中,或者新建永久硐室布置在冲击地压煤层中。</w:t>
            </w:r>
          </w:p>
          <w:p w14:paraId="77FC7B8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6.在孤岛工作面内布置2个以上工作面同时进行采掘作业。</w:t>
            </w:r>
          </w:p>
          <w:p w14:paraId="3D1B63B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7.2个掘进工作面（2个全岩掘进工作面除外）之间的距离小于150m时,采煤工作面与掘进工作面之间的距离小于350m时,2个采煤工作面之间的距离小于500m时,未停止其中1个工作面生产。</w:t>
            </w:r>
          </w:p>
          <w:p w14:paraId="2C4869E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8.采动影响区域内巷道扩修与回采平行作业或者安排2个以上扩修点同时作业。</w:t>
            </w:r>
          </w:p>
          <w:p w14:paraId="6DF58AB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9.采掘工作面实施解危措施时,与实施解危措施无关的人员未撤离至与冲击地压解危地点最小直线距离超过300m。</w:t>
            </w:r>
          </w:p>
          <w:p w14:paraId="44ACBDE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10.采掘工作面推进速度超过根据防冲设计确定的安全推进速度。</w:t>
            </w:r>
          </w:p>
        </w:tc>
      </w:tr>
      <w:tr w14:paraId="3F962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327461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（五）未制定或者未严格执行冲击地压危险区域人员准入制度的。</w:t>
            </w:r>
          </w:p>
        </w:tc>
        <w:tc>
          <w:tcPr>
            <w:tcW w:w="4501" w:type="dxa"/>
            <w:shd w:val="clear" w:color="auto" w:fill="auto"/>
            <w:tcMar>
              <w:top w:w="57" w:type="dxa"/>
              <w:left w:w="57" w:type="dxa"/>
              <w:bottom w:w="57" w:type="dxa"/>
              <w:right w:w="57" w:type="dxa"/>
            </w:tcMar>
            <w:vAlign w:val="center"/>
          </w:tcPr>
          <w:p w14:paraId="345FB54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592C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056A1B6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strike/>
                <w:dstrike w:val="0"/>
                <w:color w:val="0000FF"/>
                <w:spacing w:val="0"/>
                <w:sz w:val="21"/>
                <w:szCs w:val="21"/>
              </w:rPr>
            </w:pPr>
            <w:r>
              <w:rPr>
                <w:rFonts w:hint="eastAsia" w:ascii="黑体" w:hAnsi="黑体" w:eastAsia="黑体" w:cs="黑体"/>
                <w:b w:val="0"/>
                <w:bCs/>
                <w:color w:val="FF0000"/>
                <w:spacing w:val="0"/>
                <w:sz w:val="21"/>
                <w:szCs w:val="21"/>
                <w:lang w:val="en-US" w:eastAsia="zh-CN"/>
              </w:rPr>
              <w:t>新  增</w:t>
            </w:r>
          </w:p>
        </w:tc>
        <w:tc>
          <w:tcPr>
            <w:tcW w:w="4501" w:type="dxa"/>
            <w:shd w:val="clear" w:color="auto" w:fill="auto"/>
            <w:tcMar>
              <w:top w:w="57" w:type="dxa"/>
              <w:left w:w="57" w:type="dxa"/>
              <w:bottom w:w="57" w:type="dxa"/>
              <w:right w:w="57" w:type="dxa"/>
            </w:tcMar>
            <w:vAlign w:val="center"/>
          </w:tcPr>
          <w:p w14:paraId="0840C60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八</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冲击地压危险区域的采煤工作面超前支护长度、强度</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支护形式</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不符合《煤矿安全规程》规定。</w:t>
            </w:r>
          </w:p>
        </w:tc>
      </w:tr>
      <w:tr w14:paraId="10F10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2AC7783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strike/>
                <w:dstrike w:val="0"/>
                <w:color w:val="0000FF"/>
                <w:spacing w:val="0"/>
                <w:sz w:val="21"/>
                <w:szCs w:val="21"/>
              </w:rPr>
            </w:pPr>
            <w:r>
              <w:rPr>
                <w:rFonts w:hint="eastAsia" w:ascii="黑体" w:hAnsi="黑体" w:eastAsia="黑体" w:cs="黑体"/>
                <w:b w:val="0"/>
                <w:bCs/>
                <w:color w:val="FF0000"/>
                <w:spacing w:val="0"/>
                <w:sz w:val="21"/>
                <w:szCs w:val="21"/>
                <w:lang w:val="en-US" w:eastAsia="zh-CN"/>
              </w:rPr>
              <w:t>新  增</w:t>
            </w:r>
          </w:p>
        </w:tc>
        <w:tc>
          <w:tcPr>
            <w:tcW w:w="4501" w:type="dxa"/>
            <w:shd w:val="clear" w:color="auto" w:fill="auto"/>
            <w:tcMar>
              <w:top w:w="57" w:type="dxa"/>
              <w:left w:w="57" w:type="dxa"/>
              <w:bottom w:w="57" w:type="dxa"/>
              <w:right w:w="57" w:type="dxa"/>
            </w:tcMar>
            <w:vAlign w:val="center"/>
          </w:tcPr>
          <w:p w14:paraId="4F12609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九</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中等以上冲击地压危险区厚煤层托顶煤掘进巷道遇顶板破碎、自然淋水、过断层、过老空区、过高应力区时,未采用锚杆锚索和可缩支架</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包括可缩性棚式支架、液压支架等</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复合支护形式加强支护</w:t>
            </w:r>
            <w:r>
              <w:rPr>
                <w:rFonts w:hint="eastAsia" w:ascii="黑体" w:hAnsi="黑体" w:eastAsia="黑体" w:cs="黑体"/>
                <w:b w:val="0"/>
                <w:bCs/>
                <w:color w:val="FF0000"/>
                <w:spacing w:val="0"/>
                <w:sz w:val="21"/>
                <w:szCs w:val="21"/>
                <w:lang w:eastAsia="zh-CN"/>
              </w:rPr>
              <w:t>。</w:t>
            </w:r>
          </w:p>
        </w:tc>
      </w:tr>
      <w:tr w14:paraId="3774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7A41C36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b w:val="0"/>
                <w:bCs/>
                <w:spacing w:val="0"/>
                <w:sz w:val="21"/>
                <w:szCs w:val="21"/>
              </w:rPr>
            </w:pPr>
            <w:r>
              <w:rPr>
                <w:rFonts w:hint="eastAsia" w:ascii="黑体" w:hAnsi="黑体" w:eastAsia="黑体" w:cs="黑体"/>
                <w:b w:val="0"/>
                <w:bCs/>
                <w:spacing w:val="0"/>
                <w:sz w:val="21"/>
                <w:szCs w:val="21"/>
              </w:rPr>
              <w:t>第</w:t>
            </w:r>
            <w:r>
              <w:rPr>
                <w:rFonts w:hint="eastAsia" w:ascii="黑体" w:hAnsi="黑体" w:eastAsia="黑体" w:cs="黑体"/>
                <w:b w:val="0"/>
                <w:bCs/>
                <w:spacing w:val="0"/>
                <w:sz w:val="21"/>
                <w:szCs w:val="21"/>
                <w:lang w:val="en-US" w:eastAsia="zh-CN"/>
              </w:rPr>
              <w:t>十二</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“自然发火严重,未采取有效措施”重大事故隐患,是指有下列情形之一的:</w:t>
            </w:r>
          </w:p>
        </w:tc>
      </w:tr>
      <w:tr w14:paraId="6EF1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5A99EC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strike/>
                <w:dstrike w:val="0"/>
                <w:color w:val="0000FF"/>
                <w:spacing w:val="0"/>
                <w:sz w:val="21"/>
                <w:szCs w:val="21"/>
              </w:rPr>
            </w:pPr>
            <w:r>
              <w:rPr>
                <w:rFonts w:hint="eastAsia" w:ascii="仿宋_GB2312" w:hAnsi="仿宋_GB2312" w:eastAsia="仿宋_GB2312" w:cs="仿宋_GB2312"/>
                <w:spacing w:val="0"/>
                <w:sz w:val="21"/>
                <w:szCs w:val="21"/>
              </w:rPr>
              <w:t>（一）开采容易自燃和自燃煤层</w:t>
            </w:r>
            <w:r>
              <w:rPr>
                <w:rFonts w:hint="eastAsia" w:ascii="黑体" w:hAnsi="黑体" w:eastAsia="黑体" w:cs="黑体"/>
                <w:strike/>
                <w:dstrike w:val="0"/>
                <w:color w:val="0000FF"/>
                <w:spacing w:val="0"/>
                <w:sz w:val="21"/>
                <w:szCs w:val="21"/>
              </w:rPr>
              <w:t>的矿井，未编制防灭火专项设计或者未采取综合防灭火措施的；</w:t>
            </w:r>
          </w:p>
          <w:p w14:paraId="1B12CB82">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default" w:ascii="黑体" w:hAnsi="黑体" w:eastAsia="黑体" w:cs="黑体"/>
                <w:strike/>
                <w:dstrike w:val="0"/>
                <w:color w:val="0000FF"/>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*将“综合防灭火措施”明确列明三种具体措施：灌浆、注惰气、阻化剂，增加“充填开采例外”情形</w:t>
            </w:r>
          </w:p>
        </w:tc>
        <w:tc>
          <w:tcPr>
            <w:tcW w:w="4501" w:type="dxa"/>
            <w:tcMar>
              <w:top w:w="57" w:type="dxa"/>
              <w:left w:w="57" w:type="dxa"/>
              <w:bottom w:w="57" w:type="dxa"/>
              <w:right w:w="57" w:type="dxa"/>
            </w:tcMar>
            <w:vAlign w:val="top"/>
          </w:tcPr>
          <w:p w14:paraId="479077F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（一）开采容易自燃和自燃的煤层</w:t>
            </w:r>
            <w:r>
              <w:rPr>
                <w:rFonts w:hint="eastAsia" w:ascii="黑体" w:hAnsi="黑体" w:eastAsia="黑体" w:cs="黑体"/>
                <w:b w:val="0"/>
                <w:bCs/>
                <w:color w:val="FF0000"/>
                <w:spacing w:val="0"/>
                <w:sz w:val="21"/>
                <w:szCs w:val="21"/>
              </w:rPr>
              <w:t>,采煤工作面（充填开采的除外）未按照工作面防灭火技术措施采取灌浆、注惰性气体或者喷洒阻化剂等防灭火措施,或者采用灌浆防火时,灌浆管路未直接铺设至灌浆地点,或者采用注惰性气体防火时,释放口未保持在采空区氧化带内</w:t>
            </w:r>
            <w:r>
              <w:rPr>
                <w:rFonts w:hint="eastAsia" w:ascii="仿宋_GB2312" w:hAnsi="仿宋_GB2312" w:eastAsia="仿宋_GB2312" w:cs="仿宋_GB2312"/>
                <w:spacing w:val="0"/>
                <w:sz w:val="21"/>
                <w:szCs w:val="21"/>
              </w:rPr>
              <w:t>。</w:t>
            </w:r>
          </w:p>
        </w:tc>
      </w:tr>
      <w:tr w14:paraId="7E5C6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90BA23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（二）高瓦斯矿井采用放顶煤采煤法不能有效防治煤层自然发火的；</w:t>
            </w:r>
          </w:p>
        </w:tc>
        <w:tc>
          <w:tcPr>
            <w:tcW w:w="4501" w:type="dxa"/>
            <w:shd w:val="clear" w:color="auto" w:fill="auto"/>
            <w:tcMar>
              <w:top w:w="57" w:type="dxa"/>
              <w:left w:w="57" w:type="dxa"/>
              <w:bottom w:w="57" w:type="dxa"/>
              <w:right w:w="57" w:type="dxa"/>
            </w:tcMar>
            <w:vAlign w:val="center"/>
          </w:tcPr>
          <w:p w14:paraId="330A494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0900E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1706DC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b/>
                <w:bCs/>
                <w:color w:val="009C46"/>
                <w:spacing w:val="0"/>
                <w:sz w:val="21"/>
                <w:szCs w:val="21"/>
              </w:rPr>
              <w:t>有</w:t>
            </w:r>
            <w:r>
              <w:rPr>
                <w:rFonts w:hint="eastAsia" w:ascii="仿宋_GB2312" w:hAnsi="仿宋_GB2312" w:eastAsia="仿宋_GB2312" w:cs="仿宋_GB2312"/>
                <w:spacing w:val="0"/>
                <w:sz w:val="21"/>
                <w:szCs w:val="21"/>
              </w:rPr>
              <w:t>自然发火征兆</w:t>
            </w:r>
            <w:r>
              <w:rPr>
                <w:rFonts w:hint="eastAsia" w:ascii="黑体" w:hAnsi="黑体" w:eastAsia="黑体" w:cs="黑体"/>
                <w:b/>
                <w:bCs/>
                <w:color w:val="009C46"/>
                <w:spacing w:val="0"/>
                <w:sz w:val="21"/>
                <w:szCs w:val="21"/>
              </w:rPr>
              <w:t>没有采取相应的安全防范措施继续生产建设</w:t>
            </w:r>
            <w:r>
              <w:rPr>
                <w:rFonts w:hint="eastAsia" w:ascii="仿宋_GB2312" w:hAnsi="仿宋_GB2312" w:eastAsia="仿宋_GB2312" w:cs="仿宋_GB2312"/>
                <w:spacing w:val="0"/>
                <w:sz w:val="21"/>
                <w:szCs w:val="21"/>
              </w:rPr>
              <w:t>的；</w:t>
            </w:r>
          </w:p>
        </w:tc>
        <w:tc>
          <w:tcPr>
            <w:tcW w:w="4501" w:type="dxa"/>
            <w:shd w:val="clear" w:color="auto" w:fill="auto"/>
            <w:tcMar>
              <w:top w:w="57" w:type="dxa"/>
              <w:left w:w="57" w:type="dxa"/>
              <w:bottom w:w="57" w:type="dxa"/>
              <w:right w:w="57" w:type="dxa"/>
            </w:tcMar>
            <w:vAlign w:val="top"/>
          </w:tcPr>
          <w:p w14:paraId="21974B0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黑体" w:hAnsi="黑体" w:eastAsia="黑体" w:cs="黑体"/>
                <w:b/>
                <w:bCs/>
                <w:color w:val="009C46"/>
                <w:spacing w:val="0"/>
                <w:sz w:val="21"/>
                <w:szCs w:val="21"/>
              </w:rPr>
              <w:t>井下出现</w:t>
            </w:r>
            <w:r>
              <w:rPr>
                <w:rFonts w:hint="eastAsia" w:ascii="仿宋_GB2312" w:hAnsi="仿宋_GB2312" w:eastAsia="仿宋_GB2312" w:cs="仿宋_GB2312"/>
                <w:spacing w:val="0"/>
                <w:sz w:val="21"/>
                <w:szCs w:val="21"/>
              </w:rPr>
              <w:t>自然发火征兆</w:t>
            </w:r>
            <w:r>
              <w:rPr>
                <w:rFonts w:hint="eastAsia" w:ascii="黑体" w:hAnsi="黑体" w:eastAsia="黑体" w:cs="黑体"/>
                <w:b/>
                <w:bCs/>
                <w:color w:val="009C46"/>
                <w:spacing w:val="0"/>
                <w:sz w:val="21"/>
                <w:szCs w:val="21"/>
              </w:rPr>
              <w:t>,受威胁区域未停止作业并采取措施处理</w:t>
            </w:r>
            <w:r>
              <w:rPr>
                <w:rFonts w:hint="eastAsia" w:ascii="黑体" w:hAnsi="黑体" w:eastAsia="黑体" w:cs="黑体"/>
                <w:b w:val="0"/>
                <w:bCs/>
                <w:color w:val="FF0000"/>
                <w:spacing w:val="0"/>
                <w:sz w:val="21"/>
                <w:szCs w:val="21"/>
              </w:rPr>
              <w:t>,或者在发火征兆不能得到有效控制时未撤出危险区域人员,或者进行封闭施工作业时未撤出与施工无关的所有人员</w:t>
            </w:r>
            <w:r>
              <w:rPr>
                <w:rFonts w:hint="eastAsia" w:ascii="仿宋_GB2312" w:hAnsi="仿宋_GB2312" w:eastAsia="仿宋_GB2312" w:cs="仿宋_GB2312"/>
                <w:spacing w:val="0"/>
                <w:sz w:val="21"/>
                <w:szCs w:val="21"/>
                <w:lang w:eastAsia="zh-CN"/>
              </w:rPr>
              <w:t>。</w:t>
            </w:r>
          </w:p>
        </w:tc>
      </w:tr>
      <w:tr w14:paraId="7B64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8D4CE0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b/>
                <w:bCs/>
                <w:color w:val="009C46"/>
                <w:spacing w:val="0"/>
                <w:sz w:val="21"/>
                <w:szCs w:val="21"/>
              </w:rPr>
              <w:t>违反</w:t>
            </w:r>
            <w:r>
              <w:rPr>
                <w:rFonts w:hint="eastAsia" w:ascii="仿宋_GB2312" w:hAnsi="仿宋_GB2312" w:eastAsia="仿宋_GB2312" w:cs="仿宋_GB2312"/>
                <w:spacing w:val="0"/>
                <w:sz w:val="21"/>
                <w:szCs w:val="21"/>
              </w:rPr>
              <w:t>《煤矿安全规程》规定启封火区的。</w:t>
            </w:r>
          </w:p>
        </w:tc>
        <w:tc>
          <w:tcPr>
            <w:tcW w:w="4501" w:type="dxa"/>
            <w:tcMar>
              <w:top w:w="57" w:type="dxa"/>
              <w:left w:w="57" w:type="dxa"/>
              <w:bottom w:w="57" w:type="dxa"/>
              <w:right w:w="57" w:type="dxa"/>
            </w:tcMar>
            <w:vAlign w:val="top"/>
          </w:tcPr>
          <w:p w14:paraId="62CA000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黑体" w:hAnsi="黑体" w:eastAsia="黑体" w:cs="黑体"/>
                <w:b/>
                <w:bCs/>
                <w:color w:val="009C46"/>
                <w:spacing w:val="0"/>
                <w:sz w:val="21"/>
                <w:szCs w:val="21"/>
              </w:rPr>
              <w:t>未按照</w:t>
            </w:r>
            <w:r>
              <w:rPr>
                <w:rFonts w:hint="eastAsia" w:ascii="仿宋_GB2312" w:hAnsi="仿宋_GB2312" w:eastAsia="仿宋_GB2312" w:cs="仿宋_GB2312"/>
                <w:spacing w:val="0"/>
                <w:sz w:val="21"/>
                <w:szCs w:val="21"/>
              </w:rPr>
              <w:t>《煤矿安全规程》规定</w:t>
            </w:r>
            <w:r>
              <w:rPr>
                <w:rFonts w:hint="eastAsia" w:ascii="黑体" w:hAnsi="黑体" w:eastAsia="黑体" w:cs="黑体"/>
                <w:b w:val="0"/>
                <w:bCs/>
                <w:color w:val="FF0000"/>
                <w:spacing w:val="0"/>
                <w:sz w:val="21"/>
                <w:szCs w:val="21"/>
              </w:rPr>
              <w:t>封闭、</w:t>
            </w:r>
            <w:r>
              <w:rPr>
                <w:rFonts w:hint="eastAsia" w:ascii="仿宋_GB2312" w:hAnsi="仿宋_GB2312" w:eastAsia="仿宋_GB2312" w:cs="仿宋_GB2312"/>
                <w:spacing w:val="0"/>
                <w:sz w:val="21"/>
                <w:szCs w:val="21"/>
              </w:rPr>
              <w:t>启封火区</w:t>
            </w:r>
            <w:r>
              <w:rPr>
                <w:rFonts w:hint="eastAsia" w:ascii="仿宋_GB2312" w:hAnsi="仿宋_GB2312" w:eastAsia="仿宋_GB2312" w:cs="仿宋_GB2312"/>
                <w:spacing w:val="0"/>
                <w:sz w:val="21"/>
                <w:szCs w:val="21"/>
                <w:lang w:eastAsia="zh-CN"/>
              </w:rPr>
              <w:t>。</w:t>
            </w:r>
          </w:p>
        </w:tc>
      </w:tr>
      <w:tr w14:paraId="3268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73F36BB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b w:val="0"/>
                <w:bCs/>
                <w:color w:val="auto"/>
                <w:spacing w:val="0"/>
                <w:sz w:val="21"/>
                <w:szCs w:val="21"/>
              </w:rPr>
            </w:pPr>
            <w:r>
              <w:rPr>
                <w:rFonts w:hint="eastAsia" w:ascii="黑体" w:hAnsi="黑体" w:eastAsia="黑体" w:cs="黑体"/>
                <w:b w:val="0"/>
                <w:bCs/>
                <w:color w:val="auto"/>
                <w:spacing w:val="0"/>
                <w:sz w:val="21"/>
                <w:szCs w:val="21"/>
              </w:rPr>
              <w:t>第</w:t>
            </w:r>
            <w:r>
              <w:rPr>
                <w:rFonts w:hint="eastAsia" w:ascii="黑体" w:hAnsi="黑体" w:eastAsia="黑体" w:cs="黑体"/>
                <w:b w:val="0"/>
                <w:bCs/>
                <w:color w:val="auto"/>
                <w:spacing w:val="0"/>
                <w:sz w:val="21"/>
                <w:szCs w:val="21"/>
                <w:lang w:val="en-US" w:eastAsia="zh-CN"/>
              </w:rPr>
              <w:t>十三</w:t>
            </w:r>
            <w:r>
              <w:rPr>
                <w:rFonts w:hint="eastAsia" w:ascii="黑体" w:hAnsi="黑体" w:eastAsia="黑体" w:cs="黑体"/>
                <w:b w:val="0"/>
                <w:bCs/>
                <w:color w:val="auto"/>
                <w:spacing w:val="0"/>
                <w:sz w:val="21"/>
                <w:szCs w:val="21"/>
              </w:rPr>
              <w:t>条</w:t>
            </w:r>
            <w:r>
              <w:rPr>
                <w:rFonts w:hint="eastAsia" w:ascii="黑体" w:hAnsi="黑体" w:eastAsia="黑体" w:cs="黑体"/>
                <w:b w:val="0"/>
                <w:bCs/>
                <w:color w:val="auto"/>
                <w:spacing w:val="0"/>
                <w:sz w:val="21"/>
                <w:szCs w:val="21"/>
                <w:lang w:val="en-US" w:eastAsia="zh-CN"/>
              </w:rPr>
              <w:t xml:space="preserve"> </w:t>
            </w:r>
            <w:r>
              <w:rPr>
                <w:rFonts w:hint="eastAsia" w:ascii="黑体" w:hAnsi="黑体" w:eastAsia="黑体" w:cs="黑体"/>
                <w:b w:val="0"/>
                <w:bCs/>
                <w:color w:val="auto"/>
                <w:spacing w:val="0"/>
                <w:sz w:val="21"/>
                <w:szCs w:val="21"/>
              </w:rPr>
              <w:t>“使用应当淘汰的危及生产安全的设备、工艺”重大事故隐患,是指有下列情形之一的:</w:t>
            </w:r>
          </w:p>
        </w:tc>
      </w:tr>
      <w:tr w14:paraId="6575F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5E3C28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（一）使用</w:t>
            </w:r>
            <w:r>
              <w:rPr>
                <w:rFonts w:hint="eastAsia" w:ascii="黑体" w:hAnsi="黑体" w:eastAsia="黑体" w:cs="黑体"/>
                <w:strike/>
                <w:dstrike w:val="0"/>
                <w:color w:val="0000FF"/>
                <w:spacing w:val="0"/>
                <w:sz w:val="21"/>
                <w:szCs w:val="21"/>
              </w:rPr>
              <w:t>被列入国家</w:t>
            </w:r>
            <w:r>
              <w:rPr>
                <w:rFonts w:hint="eastAsia" w:ascii="黑体" w:hAnsi="黑体" w:eastAsia="黑体" w:cs="黑体"/>
                <w:strike/>
                <w:dstrike w:val="0"/>
                <w:color w:val="0000FF"/>
                <w:spacing w:val="0"/>
                <w:sz w:val="21"/>
                <w:szCs w:val="21"/>
                <w:lang w:eastAsia="zh-CN"/>
              </w:rPr>
              <w:t>《</w:t>
            </w:r>
            <w:r>
              <w:rPr>
                <w:rFonts w:hint="eastAsia" w:ascii="仿宋_GB2312" w:hAnsi="仿宋_GB2312" w:eastAsia="仿宋_GB2312" w:cs="仿宋_GB2312"/>
                <w:spacing w:val="0"/>
                <w:sz w:val="21"/>
                <w:szCs w:val="21"/>
              </w:rPr>
              <w:t>禁止井工煤矿使用的设备及工艺目录</w:t>
            </w:r>
            <w:r>
              <w:rPr>
                <w:rFonts w:hint="eastAsia" w:ascii="黑体" w:hAnsi="黑体" w:eastAsia="黑体" w:cs="黑体"/>
                <w:strike/>
                <w:dstrike w:val="0"/>
                <w:color w:val="0000FF"/>
                <w:spacing w:val="0"/>
                <w:sz w:val="21"/>
                <w:szCs w:val="21"/>
                <w:lang w:eastAsia="zh-CN"/>
              </w:rPr>
              <w:t>》</w:t>
            </w:r>
            <w:r>
              <w:rPr>
                <w:rFonts w:hint="eastAsia" w:ascii="仿宋_GB2312" w:hAnsi="仿宋_GB2312" w:eastAsia="仿宋_GB2312" w:cs="仿宋_GB2312"/>
                <w:spacing w:val="0"/>
                <w:sz w:val="21"/>
                <w:szCs w:val="21"/>
              </w:rPr>
              <w:t>的</w:t>
            </w:r>
            <w:r>
              <w:rPr>
                <w:rFonts w:hint="eastAsia" w:ascii="黑体" w:hAnsi="黑体" w:eastAsia="黑体" w:cs="黑体"/>
                <w:b/>
                <w:bCs/>
                <w:color w:val="009C46"/>
                <w:spacing w:val="0"/>
                <w:sz w:val="21"/>
                <w:szCs w:val="21"/>
              </w:rPr>
              <w:t>产品</w:t>
            </w:r>
            <w:r>
              <w:rPr>
                <w:rFonts w:hint="eastAsia" w:ascii="仿宋_GB2312" w:hAnsi="仿宋_GB2312" w:eastAsia="仿宋_GB2312" w:cs="仿宋_GB2312"/>
                <w:spacing w:val="0"/>
                <w:sz w:val="21"/>
                <w:szCs w:val="21"/>
              </w:rPr>
              <w:t>或者工艺的；</w:t>
            </w:r>
          </w:p>
        </w:tc>
        <w:tc>
          <w:tcPr>
            <w:tcW w:w="4501" w:type="dxa"/>
            <w:tcMar>
              <w:top w:w="57" w:type="dxa"/>
              <w:left w:w="57" w:type="dxa"/>
              <w:bottom w:w="57" w:type="dxa"/>
              <w:right w:w="57" w:type="dxa"/>
            </w:tcMar>
            <w:vAlign w:val="top"/>
          </w:tcPr>
          <w:p w14:paraId="4AAB47F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使用禁止井工煤矿使用的设备及工艺目录</w:t>
            </w:r>
            <w:r>
              <w:rPr>
                <w:rFonts w:hint="eastAsia" w:ascii="黑体" w:hAnsi="黑体" w:eastAsia="黑体" w:cs="黑体"/>
                <w:b w:val="0"/>
                <w:bCs/>
                <w:color w:val="FF0000"/>
                <w:spacing w:val="0"/>
                <w:sz w:val="21"/>
                <w:szCs w:val="21"/>
              </w:rPr>
              <w:t>、矿山安全落后工艺及设备淘汰目录中明确的国家明令禁止</w:t>
            </w:r>
            <w:r>
              <w:rPr>
                <w:rFonts w:hint="eastAsia" w:ascii="仿宋_GB2312" w:hAnsi="仿宋_GB2312" w:eastAsia="仿宋_GB2312" w:cs="仿宋_GB2312"/>
                <w:spacing w:val="0"/>
                <w:sz w:val="21"/>
                <w:szCs w:val="21"/>
              </w:rPr>
              <w:t>的</w:t>
            </w:r>
            <w:r>
              <w:rPr>
                <w:rFonts w:hint="eastAsia" w:ascii="黑体" w:hAnsi="黑体" w:eastAsia="黑体" w:cs="黑体"/>
                <w:b/>
                <w:bCs/>
                <w:color w:val="009C46"/>
                <w:spacing w:val="0"/>
                <w:sz w:val="21"/>
                <w:szCs w:val="21"/>
              </w:rPr>
              <w:t>设备</w:t>
            </w:r>
            <w:r>
              <w:rPr>
                <w:rFonts w:hint="eastAsia" w:ascii="仿宋_GB2312" w:hAnsi="仿宋_GB2312" w:eastAsia="仿宋_GB2312" w:cs="仿宋_GB2312"/>
                <w:spacing w:val="0"/>
                <w:sz w:val="21"/>
                <w:szCs w:val="21"/>
              </w:rPr>
              <w:t>或者工艺</w:t>
            </w:r>
            <w:r>
              <w:rPr>
                <w:rFonts w:hint="eastAsia" w:ascii="仿宋_GB2312" w:hAnsi="仿宋_GB2312" w:eastAsia="仿宋_GB2312" w:cs="仿宋_GB2312"/>
                <w:spacing w:val="0"/>
                <w:sz w:val="21"/>
                <w:szCs w:val="21"/>
                <w:lang w:eastAsia="zh-CN"/>
              </w:rPr>
              <w:t>。</w:t>
            </w:r>
          </w:p>
        </w:tc>
      </w:tr>
      <w:tr w14:paraId="761A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DCD534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（二）井下电气设备</w:t>
            </w:r>
            <w:r>
              <w:rPr>
                <w:rFonts w:hint="eastAsia" w:ascii="黑体" w:hAnsi="黑体" w:eastAsia="黑体" w:cs="黑体"/>
                <w:strike/>
                <w:dstrike w:val="0"/>
                <w:color w:val="0000FF"/>
                <w:spacing w:val="0"/>
                <w:sz w:val="21"/>
                <w:szCs w:val="21"/>
              </w:rPr>
              <w:t>、电缆</w:t>
            </w:r>
            <w:r>
              <w:rPr>
                <w:rFonts w:hint="eastAsia" w:ascii="仿宋_GB2312" w:hAnsi="仿宋_GB2312" w:eastAsia="仿宋_GB2312" w:cs="仿宋_GB2312"/>
                <w:spacing w:val="0"/>
                <w:sz w:val="21"/>
                <w:szCs w:val="21"/>
              </w:rPr>
              <w:t>未取得煤矿矿用产品安全标志的；</w:t>
            </w:r>
          </w:p>
        </w:tc>
        <w:tc>
          <w:tcPr>
            <w:tcW w:w="4501" w:type="dxa"/>
            <w:tcMar>
              <w:top w:w="57" w:type="dxa"/>
              <w:left w:w="57" w:type="dxa"/>
              <w:bottom w:w="57" w:type="dxa"/>
              <w:right w:w="57" w:type="dxa"/>
            </w:tcMar>
            <w:vAlign w:val="top"/>
          </w:tcPr>
          <w:p w14:paraId="17522AE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井下</w:t>
            </w:r>
            <w:r>
              <w:rPr>
                <w:rFonts w:hint="eastAsia" w:ascii="黑体" w:hAnsi="黑体" w:eastAsia="黑体" w:cs="黑体"/>
                <w:b w:val="0"/>
                <w:bCs/>
                <w:color w:val="FF0000"/>
                <w:spacing w:val="0"/>
                <w:sz w:val="21"/>
                <w:szCs w:val="21"/>
              </w:rPr>
              <w:t>使用的</w:t>
            </w:r>
            <w:r>
              <w:rPr>
                <w:rFonts w:hint="eastAsia" w:ascii="仿宋_GB2312" w:hAnsi="仿宋_GB2312" w:eastAsia="仿宋_GB2312" w:cs="仿宋_GB2312"/>
                <w:spacing w:val="0"/>
                <w:sz w:val="21"/>
                <w:szCs w:val="21"/>
              </w:rPr>
              <w:t>电气设备</w:t>
            </w:r>
            <w:r>
              <w:rPr>
                <w:rFonts w:hint="eastAsia" w:ascii="黑体" w:hAnsi="黑体" w:eastAsia="黑体" w:cs="黑体"/>
                <w:b w:val="0"/>
                <w:bCs/>
                <w:color w:val="FF0000"/>
                <w:spacing w:val="0"/>
                <w:sz w:val="21"/>
                <w:szCs w:val="21"/>
              </w:rPr>
              <w:t>、反应型高分子材料、风筒、输送带</w:t>
            </w:r>
            <w:r>
              <w:rPr>
                <w:rFonts w:hint="eastAsia" w:ascii="仿宋_GB2312" w:hAnsi="仿宋_GB2312" w:eastAsia="仿宋_GB2312" w:cs="仿宋_GB2312"/>
                <w:spacing w:val="0"/>
                <w:sz w:val="21"/>
                <w:szCs w:val="21"/>
              </w:rPr>
              <w:t>未取得煤矿矿用产品安全标志</w:t>
            </w:r>
            <w:r>
              <w:rPr>
                <w:rFonts w:hint="eastAsia" w:ascii="仿宋_GB2312" w:hAnsi="仿宋_GB2312" w:eastAsia="仿宋_GB2312" w:cs="仿宋_GB2312"/>
                <w:spacing w:val="0"/>
                <w:sz w:val="21"/>
                <w:szCs w:val="21"/>
                <w:lang w:eastAsia="zh-CN"/>
              </w:rPr>
              <w:t>。</w:t>
            </w:r>
          </w:p>
        </w:tc>
      </w:tr>
      <w:tr w14:paraId="16308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4762AE1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（三）井下电气设备选型与矿井瓦斯等级不符，或者采（盘）区内防爆型电气设备存在失爆</w:t>
            </w:r>
            <w:r>
              <w:rPr>
                <w:rFonts w:hint="eastAsia" w:ascii="黑体" w:hAnsi="黑体" w:eastAsia="黑体" w:cs="黑体"/>
                <w:strike/>
                <w:dstrike w:val="0"/>
                <w:color w:val="0000FF"/>
                <w:spacing w:val="0"/>
                <w:sz w:val="21"/>
                <w:szCs w:val="21"/>
              </w:rPr>
              <w:t>，或者井下使用非防爆无轨胶轮车的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13587D7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井下电气设备选型与矿井瓦斯等级不符</w:t>
            </w:r>
            <w:r>
              <w:rPr>
                <w:rFonts w:hint="eastAsia" w:ascii="仿宋_GB2312" w:hAnsi="仿宋_GB2312" w:eastAsia="仿宋_GB2312" w:cs="仿宋_GB2312"/>
                <w:spacing w:val="0"/>
                <w:sz w:val="21"/>
                <w:szCs w:val="21"/>
                <w:lang w:eastAsia="zh-CN"/>
              </w:rPr>
              <w:t>。</w:t>
            </w:r>
          </w:p>
        </w:tc>
      </w:tr>
      <w:tr w14:paraId="3423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3A70C33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1AA2D9E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（四）采（盘）区内防爆电气设备存在</w:t>
            </w:r>
            <w:r>
              <w:rPr>
                <w:rFonts w:hint="eastAsia" w:ascii="黑体" w:hAnsi="黑体" w:eastAsia="黑体" w:cs="黑体"/>
                <w:b w:val="0"/>
                <w:bCs/>
                <w:color w:val="FF0000"/>
                <w:spacing w:val="0"/>
                <w:sz w:val="21"/>
                <w:szCs w:val="21"/>
              </w:rPr>
              <w:t>下列</w:t>
            </w:r>
            <w:r>
              <w:rPr>
                <w:rFonts w:hint="eastAsia" w:ascii="仿宋_GB2312" w:hAnsi="仿宋_GB2312" w:eastAsia="仿宋_GB2312" w:cs="仿宋_GB2312"/>
                <w:spacing w:val="0"/>
                <w:sz w:val="21"/>
                <w:szCs w:val="21"/>
              </w:rPr>
              <w:t>失爆</w:t>
            </w:r>
            <w:r>
              <w:rPr>
                <w:rFonts w:hint="eastAsia" w:ascii="黑体" w:hAnsi="黑体" w:eastAsia="黑体" w:cs="黑体"/>
                <w:b w:val="0"/>
                <w:bCs/>
                <w:color w:val="FF0000"/>
                <w:spacing w:val="0"/>
                <w:sz w:val="21"/>
                <w:szCs w:val="21"/>
              </w:rPr>
              <w:t>情形之一的:</w:t>
            </w:r>
          </w:p>
          <w:p w14:paraId="470556B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1.隔爆外壳有裂纹、开焊、变形长度超过50mm或者凸凹深度超过5mm。</w:t>
            </w:r>
          </w:p>
          <w:p w14:paraId="070D73E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2.安装有轴承转轴且穿过隔爆外壳壁的地方未设置隔爆轴承盖。</w:t>
            </w:r>
          </w:p>
          <w:p w14:paraId="55AA419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3.冗余电缆引入口没有进行封堵,或者密封圈的单孔内穿进多根电缆。</w:t>
            </w:r>
          </w:p>
          <w:p w14:paraId="1AA980C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4.隔爆室（腔）的观察孔（窗）的透明板松动、破裂或者使用普通玻璃替代。</w:t>
            </w:r>
          </w:p>
          <w:p w14:paraId="1A6E9AD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5.隔爆设备的隔爆腔之间直接贯通。</w:t>
            </w:r>
          </w:p>
          <w:p w14:paraId="087D912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6.防爆电气设备闭锁装置失效。</w:t>
            </w:r>
          </w:p>
        </w:tc>
      </w:tr>
      <w:tr w14:paraId="0345B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2F3D956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（四）未按照矿井瓦斯等级选用相应的煤矿许用炸药和</w:t>
            </w:r>
            <w:r>
              <w:rPr>
                <w:rFonts w:hint="eastAsia" w:ascii="黑体" w:hAnsi="黑体" w:eastAsia="黑体" w:cs="黑体"/>
                <w:b/>
                <w:bCs/>
                <w:color w:val="009C46"/>
                <w:spacing w:val="0"/>
                <w:sz w:val="21"/>
                <w:szCs w:val="21"/>
              </w:rPr>
              <w:t>雷管</w:t>
            </w:r>
            <w:r>
              <w:rPr>
                <w:rFonts w:hint="eastAsia" w:ascii="仿宋_GB2312" w:hAnsi="仿宋_GB2312" w:eastAsia="仿宋_GB2312" w:cs="仿宋_GB2312"/>
                <w:spacing w:val="0"/>
                <w:sz w:val="21"/>
                <w:szCs w:val="21"/>
              </w:rPr>
              <w:t>、未使用专用</w:t>
            </w:r>
            <w:r>
              <w:rPr>
                <w:rFonts w:hint="eastAsia" w:ascii="黑体" w:hAnsi="黑体" w:eastAsia="黑体" w:cs="黑体"/>
                <w:b/>
                <w:bCs/>
                <w:color w:val="009C46"/>
                <w:spacing w:val="0"/>
                <w:sz w:val="21"/>
                <w:szCs w:val="21"/>
              </w:rPr>
              <w:t>发爆器</w:t>
            </w:r>
            <w:r>
              <w:rPr>
                <w:rFonts w:hint="eastAsia" w:ascii="仿宋_GB2312" w:hAnsi="仿宋_GB2312" w:eastAsia="仿宋_GB2312" w:cs="仿宋_GB2312"/>
                <w:spacing w:val="0"/>
                <w:sz w:val="21"/>
                <w:szCs w:val="21"/>
              </w:rPr>
              <w:t>，或者裸露爆破的；</w:t>
            </w:r>
          </w:p>
        </w:tc>
        <w:tc>
          <w:tcPr>
            <w:tcW w:w="4501" w:type="dxa"/>
            <w:tcMar>
              <w:top w:w="57" w:type="dxa"/>
              <w:left w:w="57" w:type="dxa"/>
              <w:bottom w:w="57" w:type="dxa"/>
              <w:right w:w="57" w:type="dxa"/>
            </w:tcMar>
            <w:vAlign w:val="top"/>
          </w:tcPr>
          <w:p w14:paraId="5C9F625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（五）未按照矿井瓦斯等级选用相应的煤矿许用炸药或者</w:t>
            </w:r>
            <w:r>
              <w:rPr>
                <w:rFonts w:hint="eastAsia" w:ascii="黑体" w:hAnsi="黑体" w:eastAsia="黑体" w:cs="黑体"/>
                <w:b/>
                <w:bCs/>
                <w:color w:val="009C46"/>
                <w:spacing w:val="0"/>
                <w:sz w:val="21"/>
                <w:szCs w:val="21"/>
              </w:rPr>
              <w:t>数码电子雷管</w:t>
            </w:r>
            <w:r>
              <w:rPr>
                <w:rFonts w:hint="eastAsia" w:ascii="仿宋_GB2312" w:hAnsi="仿宋_GB2312" w:eastAsia="仿宋_GB2312" w:cs="仿宋_GB2312"/>
                <w:spacing w:val="0"/>
                <w:sz w:val="21"/>
                <w:szCs w:val="21"/>
              </w:rPr>
              <w:t>。</w:t>
            </w:r>
          </w:p>
        </w:tc>
      </w:tr>
      <w:tr w14:paraId="2E4B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3639832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p>
        </w:tc>
        <w:tc>
          <w:tcPr>
            <w:tcW w:w="4501" w:type="dxa"/>
            <w:tcMar>
              <w:top w:w="57" w:type="dxa"/>
              <w:left w:w="57" w:type="dxa"/>
              <w:bottom w:w="57" w:type="dxa"/>
              <w:right w:w="57" w:type="dxa"/>
            </w:tcMar>
            <w:vAlign w:val="center"/>
          </w:tcPr>
          <w:p w14:paraId="24775C7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六</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未使用专用</w:t>
            </w:r>
            <w:r>
              <w:rPr>
                <w:rFonts w:hint="eastAsia" w:ascii="黑体" w:hAnsi="黑体" w:eastAsia="黑体" w:cs="黑体"/>
                <w:b/>
                <w:bCs/>
                <w:color w:val="009C46"/>
                <w:spacing w:val="0"/>
                <w:sz w:val="21"/>
                <w:szCs w:val="21"/>
              </w:rPr>
              <w:t>起爆控制器</w:t>
            </w:r>
            <w:r>
              <w:rPr>
                <w:rFonts w:hint="eastAsia" w:ascii="仿宋_GB2312" w:hAnsi="仿宋_GB2312" w:eastAsia="仿宋_GB2312" w:cs="仿宋_GB2312"/>
                <w:spacing w:val="0"/>
                <w:sz w:val="21"/>
                <w:szCs w:val="21"/>
              </w:rPr>
              <w:t>或者裸露爆破</w:t>
            </w:r>
            <w:r>
              <w:rPr>
                <w:rFonts w:hint="eastAsia" w:ascii="仿宋_GB2312" w:hAnsi="仿宋_GB2312" w:eastAsia="仿宋_GB2312" w:cs="仿宋_GB2312"/>
                <w:spacing w:val="0"/>
                <w:sz w:val="21"/>
                <w:szCs w:val="21"/>
                <w:lang w:eastAsia="zh-CN"/>
              </w:rPr>
              <w:t>。</w:t>
            </w:r>
          </w:p>
        </w:tc>
      </w:tr>
      <w:tr w14:paraId="47B66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5CF0B10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（五）采煤工作面不能保证2个畅通的安全出口的；</w:t>
            </w:r>
          </w:p>
        </w:tc>
        <w:tc>
          <w:tcPr>
            <w:tcW w:w="4501" w:type="dxa"/>
            <w:tcMar>
              <w:top w:w="57" w:type="dxa"/>
              <w:left w:w="57" w:type="dxa"/>
              <w:bottom w:w="57" w:type="dxa"/>
              <w:right w:w="57" w:type="dxa"/>
            </w:tcMar>
            <w:vAlign w:val="center"/>
          </w:tcPr>
          <w:p w14:paraId="7DA5B38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调整至第二十条第（十七）款</w:t>
            </w:r>
          </w:p>
        </w:tc>
      </w:tr>
      <w:tr w14:paraId="4F4BA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B6066D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（六）高瓦斯矿井、煤与瓦斯突出矿井、开采容易自燃和自燃煤层（薄煤层除外）矿井，采煤工作面采用前进式采煤方法的。</w:t>
            </w:r>
          </w:p>
        </w:tc>
        <w:tc>
          <w:tcPr>
            <w:tcW w:w="4501" w:type="dxa"/>
            <w:tcMar>
              <w:top w:w="57" w:type="dxa"/>
              <w:left w:w="57" w:type="dxa"/>
              <w:bottom w:w="57" w:type="dxa"/>
              <w:right w:w="57" w:type="dxa"/>
            </w:tcMar>
            <w:vAlign w:val="center"/>
          </w:tcPr>
          <w:p w14:paraId="26B468C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028A9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60D6067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val="0"/>
                <w:bCs/>
                <w:color w:val="auto"/>
                <w:spacing w:val="0"/>
                <w:sz w:val="21"/>
                <w:szCs w:val="21"/>
              </w:rPr>
              <w:t xml:space="preserve">第十四条 </w:t>
            </w:r>
            <w:r>
              <w:rPr>
                <w:rFonts w:hint="eastAsia" w:ascii="黑体" w:hAnsi="黑体" w:eastAsia="黑体" w:cs="黑体"/>
                <w:b w:val="0"/>
                <w:bCs/>
                <w:color w:val="auto"/>
                <w:spacing w:val="0"/>
                <w:sz w:val="21"/>
                <w:szCs w:val="21"/>
                <w:lang w:val="en-US" w:eastAsia="zh-CN"/>
              </w:rPr>
              <w:t xml:space="preserve"> </w:t>
            </w:r>
            <w:r>
              <w:rPr>
                <w:rFonts w:hint="eastAsia" w:ascii="黑体" w:hAnsi="黑体" w:eastAsia="黑体" w:cs="黑体"/>
                <w:b w:val="0"/>
                <w:bCs/>
                <w:color w:val="auto"/>
                <w:spacing w:val="0"/>
                <w:sz w:val="21"/>
                <w:szCs w:val="21"/>
              </w:rPr>
              <w:t>“未按照规定建立监控与通讯系统,或者系统不能正常运行”重大事故隐患,是指有下列情形之一的:</w:t>
            </w:r>
          </w:p>
        </w:tc>
      </w:tr>
      <w:tr w14:paraId="3B11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484E1C0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highlight w:val="none"/>
              </w:rPr>
            </w:pPr>
            <w:r>
              <w:rPr>
                <w:rFonts w:hint="eastAsia" w:ascii="仿宋_GB2312" w:hAnsi="仿宋_GB2312" w:eastAsia="仿宋_GB2312" w:cs="仿宋_GB2312"/>
                <w:spacing w:val="0"/>
                <w:sz w:val="21"/>
                <w:szCs w:val="21"/>
                <w:highlight w:val="none"/>
              </w:rPr>
              <w:t>（六）</w:t>
            </w:r>
            <w:r>
              <w:rPr>
                <w:rFonts w:hint="eastAsia" w:ascii="黑体" w:hAnsi="黑体" w:eastAsia="黑体" w:cs="黑体"/>
                <w:b/>
                <w:bCs/>
                <w:color w:val="009C46"/>
                <w:spacing w:val="0"/>
                <w:sz w:val="21"/>
                <w:szCs w:val="21"/>
              </w:rPr>
              <w:t>矿井</w:t>
            </w:r>
            <w:r>
              <w:rPr>
                <w:rFonts w:hint="eastAsia" w:ascii="仿宋_GB2312" w:hAnsi="仿宋_GB2312" w:eastAsia="仿宋_GB2312" w:cs="仿宋_GB2312"/>
                <w:spacing w:val="0"/>
                <w:sz w:val="21"/>
                <w:szCs w:val="21"/>
                <w:highlight w:val="none"/>
              </w:rPr>
              <w:t>未</w:t>
            </w:r>
            <w:r>
              <w:rPr>
                <w:rFonts w:hint="eastAsia" w:ascii="黑体" w:hAnsi="黑体" w:eastAsia="黑体" w:cs="黑体"/>
                <w:b/>
                <w:bCs/>
                <w:color w:val="009C46"/>
                <w:spacing w:val="0"/>
                <w:sz w:val="21"/>
                <w:szCs w:val="21"/>
              </w:rPr>
              <w:t>安装</w:t>
            </w:r>
            <w:r>
              <w:rPr>
                <w:rFonts w:hint="eastAsia" w:ascii="仿宋_GB2312" w:hAnsi="仿宋_GB2312" w:eastAsia="仿宋_GB2312" w:cs="仿宋_GB2312"/>
                <w:spacing w:val="0"/>
                <w:sz w:val="21"/>
                <w:szCs w:val="21"/>
                <w:highlight w:val="none"/>
              </w:rPr>
              <w:t>安全监控系统、人员位置监测系统或者系统不能正常运行，</w:t>
            </w:r>
            <w:r>
              <w:rPr>
                <w:rFonts w:hint="eastAsia" w:ascii="黑体" w:hAnsi="黑体" w:eastAsia="黑体" w:cs="黑体"/>
                <w:strike/>
                <w:dstrike w:val="0"/>
                <w:color w:val="0000FF"/>
                <w:spacing w:val="0"/>
                <w:sz w:val="21"/>
                <w:szCs w:val="21"/>
                <w:highlight w:val="none"/>
              </w:rPr>
              <w:t>以及对</w:t>
            </w:r>
            <w:r>
              <w:rPr>
                <w:rFonts w:hint="eastAsia" w:ascii="仿宋_GB2312" w:hAnsi="仿宋_GB2312" w:eastAsia="仿宋_GB2312" w:cs="仿宋_GB2312"/>
                <w:spacing w:val="0"/>
                <w:sz w:val="21"/>
                <w:szCs w:val="21"/>
                <w:highlight w:val="none"/>
              </w:rPr>
              <w:t>系统数据进行</w:t>
            </w:r>
            <w:r>
              <w:rPr>
                <w:rFonts w:hint="eastAsia" w:ascii="黑体" w:hAnsi="黑体" w:eastAsia="黑体" w:cs="黑体"/>
                <w:b/>
                <w:bCs/>
                <w:color w:val="009C46"/>
                <w:spacing w:val="0"/>
                <w:sz w:val="21"/>
                <w:szCs w:val="21"/>
              </w:rPr>
              <w:t>修改、</w:t>
            </w:r>
            <w:r>
              <w:rPr>
                <w:rFonts w:hint="eastAsia" w:ascii="黑体" w:hAnsi="黑体" w:eastAsia="黑体" w:cs="黑体"/>
                <w:b/>
                <w:bCs/>
                <w:color w:val="009C46"/>
                <w:spacing w:val="0"/>
                <w:sz w:val="21"/>
                <w:szCs w:val="21"/>
                <w:lang w:eastAsia="zh-CN"/>
              </w:rPr>
              <w:t>删  除</w:t>
            </w:r>
            <w:r>
              <w:rPr>
                <w:rFonts w:hint="eastAsia" w:ascii="黑体" w:hAnsi="黑体" w:eastAsia="黑体" w:cs="黑体"/>
                <w:b/>
                <w:bCs/>
                <w:color w:val="009C46"/>
                <w:spacing w:val="0"/>
                <w:sz w:val="21"/>
                <w:szCs w:val="21"/>
              </w:rPr>
              <w:t>及屏蔽</w:t>
            </w:r>
            <w:r>
              <w:rPr>
                <w:rFonts w:hint="eastAsia" w:ascii="黑体" w:hAnsi="黑体" w:eastAsia="黑体" w:cs="黑体"/>
                <w:strike/>
                <w:dstrike w:val="0"/>
                <w:color w:val="0000FF"/>
                <w:spacing w:val="0"/>
                <w:sz w:val="21"/>
                <w:szCs w:val="21"/>
                <w:highlight w:val="none"/>
              </w:rPr>
              <w:t>，或者煤与瓦斯突出矿井存在第七条第二项情形</w:t>
            </w:r>
            <w:r>
              <w:rPr>
                <w:rFonts w:hint="eastAsia" w:ascii="仿宋_GB2312" w:hAnsi="仿宋_GB2312" w:eastAsia="仿宋_GB2312" w:cs="仿宋_GB2312"/>
                <w:spacing w:val="0"/>
                <w:sz w:val="21"/>
                <w:szCs w:val="21"/>
                <w:highlight w:val="none"/>
              </w:rPr>
              <w:t>的；</w:t>
            </w:r>
          </w:p>
          <w:p w14:paraId="22AECC8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highlight w:val="none"/>
                <w:lang w:val="zh-CN" w:eastAsia="zh-CN" w:bidi="zh-CN"/>
              </w:rPr>
            </w:pPr>
            <w:r>
              <w:rPr>
                <w:rFonts w:hint="eastAsia" w:ascii="黑体" w:hAnsi="黑体" w:eastAsia="黑体" w:cs="黑体"/>
                <w:b/>
                <w:bCs/>
                <w:color w:val="E46C0A" w:themeColor="accent6" w:themeShade="BF"/>
                <w:spacing w:val="0"/>
                <w:sz w:val="18"/>
                <w:szCs w:val="18"/>
                <w:highlight w:val="none"/>
                <w:lang w:val="en-US" w:eastAsia="zh-CN"/>
              </w:rPr>
              <w:t>*原第十九条 其他重大事故隐患（六）款</w:t>
            </w:r>
          </w:p>
        </w:tc>
        <w:tc>
          <w:tcPr>
            <w:tcW w:w="4501" w:type="dxa"/>
            <w:tcMar>
              <w:top w:w="57" w:type="dxa"/>
              <w:left w:w="57" w:type="dxa"/>
              <w:bottom w:w="57" w:type="dxa"/>
              <w:right w:w="57" w:type="dxa"/>
            </w:tcMar>
            <w:vAlign w:val="top"/>
          </w:tcPr>
          <w:p w14:paraId="0A89A79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highlight w:val="none"/>
              </w:rPr>
            </w:pPr>
            <w:r>
              <w:rPr>
                <w:rFonts w:hint="eastAsia" w:ascii="仿宋_GB2312" w:hAnsi="仿宋_GB2312" w:eastAsia="仿宋_GB2312" w:cs="仿宋_GB2312"/>
                <w:spacing w:val="0"/>
                <w:sz w:val="21"/>
                <w:szCs w:val="21"/>
                <w:highlight w:val="none"/>
              </w:rPr>
              <w:t>（一）</w:t>
            </w:r>
            <w:r>
              <w:rPr>
                <w:rFonts w:hint="eastAsia" w:ascii="黑体" w:hAnsi="黑体" w:eastAsia="黑体" w:cs="黑体"/>
                <w:b/>
                <w:bCs/>
                <w:color w:val="009C46"/>
                <w:spacing w:val="0"/>
                <w:sz w:val="21"/>
                <w:szCs w:val="21"/>
              </w:rPr>
              <w:t>井工煤矿</w:t>
            </w:r>
            <w:r>
              <w:rPr>
                <w:rFonts w:hint="eastAsia" w:ascii="仿宋_GB2312" w:hAnsi="仿宋_GB2312" w:eastAsia="仿宋_GB2312" w:cs="仿宋_GB2312"/>
                <w:spacing w:val="0"/>
                <w:sz w:val="21"/>
                <w:szCs w:val="21"/>
                <w:highlight w:val="none"/>
              </w:rPr>
              <w:t>未</w:t>
            </w:r>
            <w:r>
              <w:rPr>
                <w:rFonts w:hint="eastAsia" w:ascii="黑体" w:hAnsi="黑体" w:eastAsia="黑体" w:cs="黑体"/>
                <w:b/>
                <w:bCs/>
                <w:color w:val="009C46"/>
                <w:spacing w:val="0"/>
                <w:sz w:val="21"/>
                <w:szCs w:val="21"/>
              </w:rPr>
              <w:t>建立</w:t>
            </w:r>
            <w:r>
              <w:rPr>
                <w:rFonts w:hint="eastAsia" w:ascii="仿宋_GB2312" w:hAnsi="仿宋_GB2312" w:eastAsia="仿宋_GB2312" w:cs="仿宋_GB2312"/>
                <w:spacing w:val="0"/>
                <w:sz w:val="21"/>
                <w:szCs w:val="21"/>
                <w:highlight w:val="none"/>
              </w:rPr>
              <w:t>安全监控系统、人员位置监测系统</w:t>
            </w:r>
            <w:r>
              <w:rPr>
                <w:rFonts w:hint="eastAsia" w:ascii="黑体" w:hAnsi="黑体" w:eastAsia="黑体" w:cs="黑体"/>
                <w:b w:val="0"/>
                <w:bCs/>
                <w:color w:val="FF0000"/>
                <w:spacing w:val="0"/>
                <w:sz w:val="21"/>
                <w:szCs w:val="21"/>
                <w:highlight w:val="none"/>
              </w:rPr>
              <w:t>、有线调度通信系统、视频监视系统,露天煤矿未建立边坡监测预警系统,</w:t>
            </w:r>
            <w:r>
              <w:rPr>
                <w:rFonts w:hint="eastAsia" w:ascii="仿宋_GB2312" w:hAnsi="仿宋_GB2312" w:eastAsia="仿宋_GB2312" w:cs="仿宋_GB2312"/>
                <w:spacing w:val="0"/>
                <w:sz w:val="21"/>
                <w:szCs w:val="21"/>
                <w:highlight w:val="none"/>
              </w:rPr>
              <w:t>或者系统不能正常运行。</w:t>
            </w:r>
          </w:p>
        </w:tc>
      </w:tr>
      <w:tr w14:paraId="65019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shd w:val="clear" w:color="auto" w:fill="auto"/>
            <w:tcMar>
              <w:top w:w="57" w:type="dxa"/>
              <w:left w:w="57" w:type="dxa"/>
              <w:bottom w:w="57" w:type="dxa"/>
              <w:right w:w="57" w:type="dxa"/>
            </w:tcMar>
            <w:vAlign w:val="top"/>
          </w:tcPr>
          <w:p w14:paraId="216E6FC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zh-CN" w:eastAsia="zh-CN" w:bidi="zh-CN"/>
              </w:rPr>
            </w:pPr>
          </w:p>
        </w:tc>
        <w:tc>
          <w:tcPr>
            <w:tcW w:w="4501" w:type="dxa"/>
            <w:tcMar>
              <w:top w:w="57" w:type="dxa"/>
              <w:left w:w="57" w:type="dxa"/>
              <w:bottom w:w="57" w:type="dxa"/>
              <w:right w:w="57" w:type="dxa"/>
            </w:tcMar>
            <w:vAlign w:val="top"/>
          </w:tcPr>
          <w:p w14:paraId="18D116C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b/>
                <w:bCs/>
                <w:color w:val="009C46"/>
                <w:spacing w:val="0"/>
                <w:sz w:val="21"/>
                <w:szCs w:val="21"/>
              </w:rPr>
              <w:t>过滤、篡改、屏蔽、隐瞒或者销毁</w:t>
            </w:r>
            <w:r>
              <w:rPr>
                <w:rFonts w:hint="eastAsia" w:ascii="黑体" w:hAnsi="黑体" w:eastAsia="黑体" w:cs="黑体"/>
                <w:b w:val="0"/>
                <w:bCs/>
                <w:color w:val="FF0000"/>
                <w:spacing w:val="0"/>
                <w:sz w:val="21"/>
                <w:szCs w:val="21"/>
              </w:rPr>
              <w:t>井工煤矿安全监控系统、人员位置监测系统、有线调度通信系统、视频监视系统或者露天煤矿边坡监测预警系统</w:t>
            </w:r>
            <w:r>
              <w:rPr>
                <w:rFonts w:hint="eastAsia" w:ascii="仿宋_GB2312" w:hAnsi="仿宋_GB2312" w:eastAsia="仿宋_GB2312" w:cs="仿宋_GB2312"/>
                <w:spacing w:val="0"/>
                <w:sz w:val="21"/>
                <w:szCs w:val="21"/>
              </w:rPr>
              <w:t>数据。</w:t>
            </w:r>
          </w:p>
        </w:tc>
      </w:tr>
      <w:tr w14:paraId="0A54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top"/>
          </w:tcPr>
          <w:p w14:paraId="6E034A5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仿宋_GB2312" w:hAnsi="仿宋_GB2312" w:eastAsia="仿宋_GB2312" w:cs="仿宋_GB2312"/>
                <w:spacing w:val="0"/>
                <w:sz w:val="21"/>
                <w:szCs w:val="21"/>
              </w:rPr>
              <w:t>（二）未按照国家规定安设、调校甲烷传感器，</w:t>
            </w:r>
            <w:r>
              <w:rPr>
                <w:rFonts w:hint="eastAsia" w:ascii="黑体" w:hAnsi="黑体" w:eastAsia="黑体" w:cs="黑体"/>
                <w:color w:val="A6A6A6" w:themeColor="background1" w:themeShade="A6"/>
                <w:spacing w:val="0"/>
                <w:sz w:val="18"/>
                <w:szCs w:val="18"/>
              </w:rPr>
              <w:t>人为造成甲烷传感器失效，或者瓦斯超限后不能报警、断电或者断电范围不符合国家规定的。</w:t>
            </w:r>
          </w:p>
          <w:p w14:paraId="2984A360">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jc w:val="both"/>
              <w:textAlignment w:val="auto"/>
              <w:rPr>
                <w:rFonts w:hint="eastAsia"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*原第七条 高瓦斯矿井未建立瓦斯抽采……（二）款</w:t>
            </w:r>
          </w:p>
          <w:p w14:paraId="4AE234F0">
            <w:pPr>
              <w:pStyle w:val="11"/>
              <w:keepNext w:val="0"/>
              <w:keepLines w:val="0"/>
              <w:pageBreakBefore w:val="0"/>
              <w:widowControl w:val="0"/>
              <w:kinsoku/>
              <w:wordWrap/>
              <w:overflowPunct/>
              <w:topLinePunct w:val="0"/>
              <w:autoSpaceDE w:val="0"/>
              <w:autoSpaceDN w:val="0"/>
              <w:bidi w:val="0"/>
              <w:adjustRightInd/>
              <w:snapToGrid/>
              <w:spacing w:before="0" w:line="240" w:lineRule="exact"/>
              <w:ind w:left="0" w:leftChars="0" w:right="0" w:rightChars="0"/>
              <w:jc w:val="both"/>
              <w:textAlignment w:val="auto"/>
              <w:rPr>
                <w:rFonts w:hint="default"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本款后半部分调整至本条（四）款</w:t>
            </w:r>
          </w:p>
          <w:p w14:paraId="1C59717B">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default" w:ascii="黑体" w:hAnsi="黑体" w:eastAsia="黑体" w:cs="黑体"/>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*明确井工煤矿各类矿井需要安设甲烷传感器的位置（地点）</w:t>
            </w:r>
          </w:p>
        </w:tc>
        <w:tc>
          <w:tcPr>
            <w:tcW w:w="4501" w:type="dxa"/>
            <w:tcMar>
              <w:top w:w="57" w:type="dxa"/>
              <w:left w:w="57" w:type="dxa"/>
              <w:bottom w:w="57" w:type="dxa"/>
              <w:right w:w="57" w:type="dxa"/>
            </w:tcMar>
            <w:vAlign w:val="top"/>
          </w:tcPr>
          <w:p w14:paraId="06820CF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仿宋_GB2312" w:hAnsi="仿宋_GB2312" w:eastAsia="仿宋_GB2312" w:cs="仿宋_GB2312"/>
                <w:spacing w:val="0"/>
                <w:sz w:val="21"/>
                <w:szCs w:val="21"/>
              </w:rPr>
              <w:t>（三）井工煤矿井下甲烷传感器安设存在下列情形之一的:</w:t>
            </w:r>
          </w:p>
          <w:p w14:paraId="70E98B4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下列地点未设置甲烷传感器:采煤工作面及其回风巷和回风隅角,高瓦斯和煤（岩）与瓦斯（二氧化碳）突出矿井采煤工作面回风巷长度大于1000m时回风巷中部;煤巷、半煤岩巷和有瓦斯涌出的岩巷掘进工作面及其回风流中,高瓦斯和煤（岩）与瓦斯（二氧化碳）突出矿井的掘进巷道长度大于1000m时掘进巷道中部;煤（岩）与瓦斯（二氧化碳）突出矿井和具有冲击地压危险的高瓦斯矿井采煤工作面进风巷;采用串联通风时,被串采煤工作面的进风巷、被串掘进工作面的局部通风机前;采（盘）区回风巷、总回风巷测风站;使用架线电机车的主要运输巷道内装煤点下风侧3m至5m范围内;煤仓上口下风侧;井下临时瓦斯抽采泵站及排放口下风侧栅栏外。</w:t>
            </w:r>
          </w:p>
          <w:p w14:paraId="485917F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2.施工区域防突措施钻孔时,在下风侧5m至10m范围内未设置具备超限报警断电功能的甲烷传感器。</w:t>
            </w:r>
          </w:p>
        </w:tc>
      </w:tr>
      <w:tr w14:paraId="268D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9DAAA6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color w:val="A6A6A6" w:themeColor="background1" w:themeShade="A6"/>
                <w:spacing w:val="0"/>
                <w:sz w:val="18"/>
                <w:szCs w:val="18"/>
              </w:rPr>
              <w:t>未按照国家规定安设、调校甲烷传感器，</w:t>
            </w:r>
            <w:r>
              <w:rPr>
                <w:rFonts w:hint="eastAsia" w:ascii="黑体" w:hAnsi="黑体" w:eastAsia="黑体" w:cs="黑体"/>
                <w:b/>
                <w:bCs/>
                <w:color w:val="009C46"/>
                <w:spacing w:val="0"/>
                <w:sz w:val="21"/>
                <w:szCs w:val="21"/>
              </w:rPr>
              <w:t>人为造成甲烷传感器失效</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w:t>
            </w:r>
            <w:r>
              <w:rPr>
                <w:rFonts w:hint="eastAsia" w:ascii="黑体" w:hAnsi="黑体" w:eastAsia="黑体" w:cs="黑体"/>
                <w:b/>
                <w:bCs/>
                <w:color w:val="009C46"/>
                <w:spacing w:val="0"/>
                <w:sz w:val="21"/>
                <w:szCs w:val="21"/>
              </w:rPr>
              <w:t>或者瓦斯</w:t>
            </w:r>
            <w:r>
              <w:rPr>
                <w:rFonts w:hint="eastAsia" w:ascii="仿宋_GB2312" w:hAnsi="仿宋_GB2312" w:eastAsia="仿宋_GB2312" w:cs="仿宋_GB2312"/>
                <w:spacing w:val="0"/>
                <w:sz w:val="21"/>
                <w:szCs w:val="21"/>
              </w:rPr>
              <w:t>超限后不能报警</w:t>
            </w:r>
            <w:r>
              <w:rPr>
                <w:rFonts w:hint="eastAsia" w:ascii="黑体" w:hAnsi="黑体" w:eastAsia="黑体" w:cs="黑体"/>
                <w:b/>
                <w:bCs/>
                <w:color w:val="009C46"/>
                <w:spacing w:val="0"/>
                <w:sz w:val="21"/>
                <w:szCs w:val="21"/>
              </w:rPr>
              <w:t>、断电或者断电范围不符合国家规定的</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w:t>
            </w:r>
          </w:p>
          <w:p w14:paraId="6FA2AFB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bCs/>
                <w:color w:val="E46C0A" w:themeColor="accent6" w:themeShade="BF"/>
                <w:spacing w:val="0"/>
                <w:sz w:val="18"/>
                <w:szCs w:val="18"/>
                <w:lang w:val="en-US" w:eastAsia="zh-CN"/>
              </w:rPr>
              <w:t>*原第七条 高瓦斯矿井未建立瓦斯抽采……（二）款</w:t>
            </w:r>
          </w:p>
        </w:tc>
        <w:tc>
          <w:tcPr>
            <w:tcW w:w="4501" w:type="dxa"/>
            <w:tcMar>
              <w:top w:w="57" w:type="dxa"/>
              <w:left w:w="57" w:type="dxa"/>
              <w:bottom w:w="57" w:type="dxa"/>
              <w:right w:w="57" w:type="dxa"/>
            </w:tcMar>
            <w:vAlign w:val="top"/>
          </w:tcPr>
          <w:p w14:paraId="532B243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b/>
                <w:bCs/>
                <w:color w:val="009C46"/>
                <w:spacing w:val="0"/>
                <w:sz w:val="21"/>
                <w:szCs w:val="21"/>
              </w:rPr>
              <w:t>甲烷传感器报警功能、甲烷电闭锁功能失效</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w:t>
            </w:r>
            <w:r>
              <w:rPr>
                <w:rFonts w:hint="eastAsia" w:ascii="黑体" w:hAnsi="黑体" w:eastAsia="黑体" w:cs="黑体"/>
                <w:b/>
                <w:bCs/>
                <w:color w:val="009C46"/>
                <w:spacing w:val="0"/>
                <w:sz w:val="21"/>
                <w:szCs w:val="21"/>
              </w:rPr>
              <w:t>造成甲烷</w:t>
            </w:r>
            <w:r>
              <w:rPr>
                <w:rFonts w:hint="eastAsia" w:ascii="仿宋_GB2312" w:hAnsi="仿宋_GB2312" w:eastAsia="仿宋_GB2312" w:cs="仿宋_GB2312"/>
                <w:spacing w:val="0"/>
                <w:sz w:val="21"/>
                <w:szCs w:val="21"/>
              </w:rPr>
              <w:t>超限后不能报警、</w:t>
            </w:r>
            <w:r>
              <w:rPr>
                <w:rFonts w:hint="eastAsia" w:ascii="黑体" w:hAnsi="黑体" w:eastAsia="黑体" w:cs="黑体"/>
                <w:b w:val="0"/>
                <w:bCs/>
                <w:color w:val="FF0000"/>
                <w:spacing w:val="0"/>
                <w:sz w:val="21"/>
                <w:szCs w:val="21"/>
              </w:rPr>
              <w:t>不能</w:t>
            </w:r>
            <w:r>
              <w:rPr>
                <w:rFonts w:hint="eastAsia" w:ascii="黑体" w:hAnsi="黑体" w:eastAsia="黑体" w:cs="黑体"/>
                <w:b/>
                <w:bCs/>
                <w:color w:val="009C46"/>
                <w:spacing w:val="0"/>
                <w:sz w:val="21"/>
                <w:szCs w:val="21"/>
              </w:rPr>
              <w:t>切断所监控区域的全部非本质安全型电气设备电源</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w:t>
            </w:r>
          </w:p>
        </w:tc>
      </w:tr>
      <w:tr w14:paraId="2B984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0D9ADEF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color w:val="FF0000"/>
                <w:spacing w:val="0"/>
                <w:sz w:val="18"/>
                <w:szCs w:val="18"/>
                <w:lang w:val="en-US" w:eastAsia="zh-CN"/>
              </w:rPr>
            </w:pPr>
            <w:r>
              <w:rPr>
                <w:rFonts w:hint="eastAsia" w:ascii="黑体" w:hAnsi="黑体" w:eastAsia="黑体" w:cs="黑体"/>
                <w:b w:val="0"/>
                <w:bCs/>
                <w:color w:val="FF0000"/>
                <w:spacing w:val="0"/>
                <w:sz w:val="18"/>
                <w:szCs w:val="18"/>
                <w:lang w:val="en-US" w:eastAsia="zh-CN"/>
              </w:rPr>
              <w:t>新  增</w:t>
            </w:r>
          </w:p>
        </w:tc>
        <w:tc>
          <w:tcPr>
            <w:tcW w:w="4501" w:type="dxa"/>
            <w:tcMar>
              <w:top w:w="57" w:type="dxa"/>
              <w:left w:w="57" w:type="dxa"/>
              <w:bottom w:w="57" w:type="dxa"/>
              <w:right w:w="57" w:type="dxa"/>
            </w:tcMar>
            <w:vAlign w:val="top"/>
          </w:tcPr>
          <w:p w14:paraId="25A5FD0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五</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甲烷传感器的报警浓度、断电浓度或者断电范围不符合《煤矿安全规程》规定</w:t>
            </w:r>
            <w:r>
              <w:rPr>
                <w:rFonts w:hint="eastAsia" w:ascii="黑体" w:hAnsi="黑体" w:eastAsia="黑体" w:cs="黑体"/>
                <w:b w:val="0"/>
                <w:bCs/>
                <w:color w:val="FF0000"/>
                <w:spacing w:val="0"/>
                <w:sz w:val="21"/>
                <w:szCs w:val="21"/>
                <w:lang w:eastAsia="zh-CN"/>
              </w:rPr>
              <w:t>。</w:t>
            </w:r>
          </w:p>
        </w:tc>
      </w:tr>
      <w:tr w14:paraId="0A3CB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6A9C40D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color w:val="FF0000"/>
                <w:spacing w:val="0"/>
                <w:sz w:val="18"/>
                <w:szCs w:val="18"/>
                <w:lang w:val="en-US" w:eastAsia="zh-CN"/>
              </w:rPr>
            </w:pPr>
            <w:r>
              <w:rPr>
                <w:rFonts w:hint="eastAsia" w:ascii="黑体" w:hAnsi="黑体" w:eastAsia="黑体" w:cs="黑体"/>
                <w:b w:val="0"/>
                <w:bCs/>
                <w:color w:val="FF0000"/>
                <w:spacing w:val="0"/>
                <w:sz w:val="18"/>
                <w:szCs w:val="18"/>
                <w:lang w:val="en-US" w:eastAsia="zh-CN"/>
              </w:rPr>
              <w:t>新  增</w:t>
            </w:r>
          </w:p>
        </w:tc>
        <w:tc>
          <w:tcPr>
            <w:tcW w:w="4501" w:type="dxa"/>
            <w:tcMar>
              <w:top w:w="57" w:type="dxa"/>
              <w:left w:w="57" w:type="dxa"/>
              <w:bottom w:w="57" w:type="dxa"/>
              <w:right w:w="57" w:type="dxa"/>
            </w:tcMar>
            <w:vAlign w:val="top"/>
          </w:tcPr>
          <w:p w14:paraId="584791D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六</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甲烷传感器未按照《煤矿安全规程》规定周期调校</w:t>
            </w:r>
            <w:r>
              <w:rPr>
                <w:rFonts w:hint="eastAsia" w:ascii="黑体" w:hAnsi="黑体" w:eastAsia="黑体" w:cs="黑体"/>
                <w:b w:val="0"/>
                <w:bCs/>
                <w:color w:val="FF0000"/>
                <w:spacing w:val="0"/>
                <w:sz w:val="21"/>
                <w:szCs w:val="21"/>
                <w:lang w:eastAsia="zh-CN"/>
              </w:rPr>
              <w:t>。</w:t>
            </w:r>
          </w:p>
        </w:tc>
      </w:tr>
      <w:tr w14:paraId="698ED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60090EA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color w:val="FF0000"/>
                <w:spacing w:val="0"/>
                <w:sz w:val="18"/>
                <w:szCs w:val="18"/>
                <w:lang w:val="en-US" w:eastAsia="zh-CN"/>
              </w:rPr>
            </w:pPr>
            <w:r>
              <w:rPr>
                <w:rFonts w:hint="eastAsia" w:ascii="黑体" w:hAnsi="黑体" w:eastAsia="黑体" w:cs="黑体"/>
                <w:b w:val="0"/>
                <w:bCs/>
                <w:color w:val="FF0000"/>
                <w:spacing w:val="0"/>
                <w:sz w:val="18"/>
                <w:szCs w:val="18"/>
                <w:lang w:val="en-US" w:eastAsia="zh-CN"/>
              </w:rPr>
              <w:t>新  增</w:t>
            </w:r>
          </w:p>
        </w:tc>
        <w:tc>
          <w:tcPr>
            <w:tcW w:w="4501" w:type="dxa"/>
            <w:tcMar>
              <w:top w:w="57" w:type="dxa"/>
              <w:left w:w="57" w:type="dxa"/>
              <w:bottom w:w="57" w:type="dxa"/>
              <w:right w:w="57" w:type="dxa"/>
            </w:tcMar>
            <w:vAlign w:val="top"/>
          </w:tcPr>
          <w:p w14:paraId="2BC8CD7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七</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为规避超限报警采取堵塞、包裹、喷雾、隔挡、风吹甲烷传感器或者压缩量程等方式,造成甲烷传感器失效、失真</w:t>
            </w:r>
            <w:r>
              <w:rPr>
                <w:rFonts w:hint="eastAsia" w:ascii="黑体" w:hAnsi="黑体" w:eastAsia="黑体" w:cs="黑体"/>
                <w:b w:val="0"/>
                <w:bCs/>
                <w:color w:val="FF0000"/>
                <w:spacing w:val="0"/>
                <w:sz w:val="21"/>
                <w:szCs w:val="21"/>
                <w:lang w:eastAsia="zh-CN"/>
              </w:rPr>
              <w:t>。</w:t>
            </w:r>
          </w:p>
        </w:tc>
      </w:tr>
      <w:tr w14:paraId="3101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6BACE3C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b w:val="0"/>
                <w:bCs/>
                <w:color w:val="FF0000"/>
                <w:spacing w:val="0"/>
                <w:sz w:val="18"/>
                <w:szCs w:val="18"/>
                <w:lang w:val="en-US" w:eastAsia="zh-CN"/>
              </w:rPr>
            </w:pPr>
            <w:r>
              <w:rPr>
                <w:rFonts w:hint="eastAsia" w:ascii="黑体" w:hAnsi="黑体" w:eastAsia="黑体" w:cs="黑体"/>
                <w:b w:val="0"/>
                <w:bCs/>
                <w:color w:val="FF0000"/>
                <w:spacing w:val="0"/>
                <w:sz w:val="18"/>
                <w:szCs w:val="18"/>
                <w:lang w:val="en-US" w:eastAsia="zh-CN"/>
              </w:rPr>
              <w:t>新  增</w:t>
            </w:r>
          </w:p>
        </w:tc>
        <w:tc>
          <w:tcPr>
            <w:tcW w:w="4501" w:type="dxa"/>
            <w:tcMar>
              <w:top w:w="57" w:type="dxa"/>
              <w:left w:w="57" w:type="dxa"/>
              <w:bottom w:w="57" w:type="dxa"/>
              <w:right w:w="57" w:type="dxa"/>
            </w:tcMar>
            <w:vAlign w:val="top"/>
          </w:tcPr>
          <w:p w14:paraId="72FC9F5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八</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露天煤矿影响作业人员安全的采场、排土场未实现边坡监测预警全覆盖</w:t>
            </w:r>
            <w:r>
              <w:rPr>
                <w:rFonts w:hint="eastAsia" w:ascii="黑体" w:hAnsi="黑体" w:eastAsia="黑体" w:cs="黑体"/>
                <w:b w:val="0"/>
                <w:bCs/>
                <w:color w:val="FF0000"/>
                <w:spacing w:val="0"/>
                <w:sz w:val="21"/>
                <w:szCs w:val="21"/>
                <w:lang w:eastAsia="zh-CN"/>
              </w:rPr>
              <w:t>。</w:t>
            </w:r>
          </w:p>
        </w:tc>
      </w:tr>
      <w:tr w14:paraId="50664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7FE4D86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val="0"/>
                <w:bCs/>
                <w:color w:val="auto"/>
                <w:spacing w:val="0"/>
                <w:sz w:val="21"/>
                <w:szCs w:val="21"/>
              </w:rPr>
              <w:t>第十五条 “露天煤矿边坡角大于设计最大值或者边坡发生严重变形,未采取有效措施”重大事故隐患,是指有下列情形之一的:</w:t>
            </w:r>
          </w:p>
        </w:tc>
      </w:tr>
      <w:tr w14:paraId="3E66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04A3A9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w:t>
            </w:r>
            <w:r>
              <w:rPr>
                <w:rFonts w:hint="eastAsia" w:ascii="黑体" w:hAnsi="黑体" w:eastAsia="黑体" w:cs="黑体"/>
                <w:strike/>
                <w:dstrike w:val="0"/>
                <w:color w:val="0000FF"/>
                <w:spacing w:val="0"/>
                <w:sz w:val="21"/>
                <w:szCs w:val="21"/>
              </w:rPr>
              <w:t>露天煤矿</w:t>
            </w:r>
            <w:r>
              <w:rPr>
                <w:rFonts w:hint="eastAsia" w:ascii="仿宋_GB2312" w:hAnsi="仿宋_GB2312" w:eastAsia="仿宋_GB2312" w:cs="仿宋_GB2312"/>
                <w:spacing w:val="0"/>
                <w:sz w:val="21"/>
                <w:szCs w:val="21"/>
              </w:rPr>
              <w:t>边坡角大于设计最大值，</w:t>
            </w:r>
            <w:r>
              <w:rPr>
                <w:rFonts w:hint="eastAsia" w:ascii="黑体" w:hAnsi="黑体" w:eastAsia="黑体" w:cs="黑体"/>
                <w:color w:val="A6A6A6" w:themeColor="background1" w:themeShade="A6"/>
                <w:spacing w:val="0"/>
                <w:sz w:val="18"/>
                <w:szCs w:val="18"/>
              </w:rPr>
              <w:t>或者边坡发生严重变形未及时采取措施进行治理的；</w:t>
            </w:r>
          </w:p>
          <w:p w14:paraId="76620E5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bCs/>
                <w:color w:val="E46C0A" w:themeColor="accent6" w:themeShade="BF"/>
                <w:spacing w:val="0"/>
                <w:sz w:val="18"/>
                <w:szCs w:val="18"/>
                <w:lang w:val="en-US" w:eastAsia="zh-CN"/>
              </w:rPr>
              <w:t>*原第十九条 其他重大事故隐患（十）款</w:t>
            </w:r>
          </w:p>
        </w:tc>
        <w:tc>
          <w:tcPr>
            <w:tcW w:w="4501" w:type="dxa"/>
            <w:tcMar>
              <w:top w:w="57" w:type="dxa"/>
              <w:left w:w="57" w:type="dxa"/>
              <w:bottom w:w="57" w:type="dxa"/>
              <w:right w:w="57" w:type="dxa"/>
            </w:tcMar>
            <w:vAlign w:val="top"/>
          </w:tcPr>
          <w:p w14:paraId="336B236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2个以上已到界台阶形成边帮的</w:t>
            </w:r>
            <w:r>
              <w:rPr>
                <w:rFonts w:hint="eastAsia" w:ascii="仿宋_GB2312" w:hAnsi="仿宋_GB2312" w:eastAsia="仿宋_GB2312" w:cs="仿宋_GB2312"/>
                <w:spacing w:val="0"/>
                <w:sz w:val="21"/>
                <w:szCs w:val="21"/>
              </w:rPr>
              <w:t>边坡角大于设计最大值</w:t>
            </w:r>
            <w:r>
              <w:rPr>
                <w:rFonts w:hint="eastAsia" w:ascii="仿宋_GB2312" w:hAnsi="仿宋_GB2312" w:eastAsia="仿宋_GB2312" w:cs="仿宋_GB2312"/>
                <w:spacing w:val="0"/>
                <w:sz w:val="21"/>
                <w:szCs w:val="21"/>
                <w:lang w:eastAsia="zh-CN"/>
              </w:rPr>
              <w:t>。</w:t>
            </w:r>
          </w:p>
        </w:tc>
      </w:tr>
      <w:tr w14:paraId="481BF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08EB752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7860A69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工作台阶高度大于设计值2倍,或者平盘宽度小于设计值1/2</w:t>
            </w:r>
            <w:r>
              <w:rPr>
                <w:rFonts w:hint="eastAsia" w:ascii="黑体" w:hAnsi="黑体" w:eastAsia="黑体" w:cs="黑体"/>
                <w:b w:val="0"/>
                <w:bCs/>
                <w:color w:val="FF0000"/>
                <w:spacing w:val="0"/>
                <w:sz w:val="21"/>
                <w:szCs w:val="21"/>
                <w:lang w:eastAsia="zh-CN"/>
              </w:rPr>
              <w:t>。</w:t>
            </w:r>
          </w:p>
        </w:tc>
      </w:tr>
      <w:tr w14:paraId="0D644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134516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w:t>
            </w:r>
            <w:r>
              <w:rPr>
                <w:rFonts w:hint="eastAsia" w:ascii="黑体" w:hAnsi="黑体" w:eastAsia="黑体" w:cs="黑体"/>
                <w:color w:val="A6A6A6" w:themeColor="background1" w:themeShade="A6"/>
                <w:spacing w:val="0"/>
                <w:sz w:val="18"/>
                <w:szCs w:val="18"/>
              </w:rPr>
              <w:t>露天煤矿边坡角大于设计最大值，</w:t>
            </w:r>
            <w:r>
              <w:rPr>
                <w:rFonts w:hint="eastAsia" w:ascii="黑体" w:hAnsi="黑体" w:eastAsia="黑体" w:cs="黑体"/>
                <w:strike/>
                <w:dstrike w:val="0"/>
                <w:color w:val="0000FF"/>
                <w:spacing w:val="0"/>
                <w:sz w:val="21"/>
                <w:szCs w:val="21"/>
              </w:rPr>
              <w:t>或者</w:t>
            </w:r>
            <w:r>
              <w:rPr>
                <w:rFonts w:hint="eastAsia" w:ascii="黑体" w:hAnsi="黑体" w:eastAsia="黑体" w:cs="黑体"/>
                <w:b/>
                <w:bCs/>
                <w:color w:val="009C46"/>
                <w:spacing w:val="0"/>
                <w:sz w:val="21"/>
                <w:szCs w:val="21"/>
              </w:rPr>
              <w:t>边坡发生严重变形未及时采取措施</w:t>
            </w:r>
            <w:r>
              <w:rPr>
                <w:rFonts w:hint="eastAsia" w:ascii="黑体" w:hAnsi="黑体" w:eastAsia="黑体" w:cs="黑体"/>
                <w:strike/>
                <w:dstrike w:val="0"/>
                <w:color w:val="0000FF"/>
                <w:spacing w:val="0"/>
                <w:sz w:val="21"/>
                <w:szCs w:val="21"/>
              </w:rPr>
              <w:t>进行治理的</w:t>
            </w:r>
            <w:r>
              <w:rPr>
                <w:rFonts w:hint="eastAsia" w:ascii="仿宋_GB2312" w:hAnsi="仿宋_GB2312" w:eastAsia="仿宋_GB2312" w:cs="仿宋_GB2312"/>
                <w:spacing w:val="0"/>
                <w:sz w:val="21"/>
                <w:szCs w:val="21"/>
              </w:rPr>
              <w:t>；</w:t>
            </w:r>
          </w:p>
          <w:p w14:paraId="08F7450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both"/>
              <w:textAlignment w:val="auto"/>
              <w:rPr>
                <w:rFonts w:hint="eastAsia" w:ascii="黑体" w:hAnsi="黑体" w:eastAsia="黑体" w:cs="黑体"/>
                <w:color w:val="FF0000"/>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*原第十九条 其他重大事故隐患（十）款</w:t>
            </w:r>
          </w:p>
        </w:tc>
        <w:tc>
          <w:tcPr>
            <w:tcW w:w="4501" w:type="dxa"/>
            <w:tcMar>
              <w:top w:w="57" w:type="dxa"/>
              <w:left w:w="57" w:type="dxa"/>
              <w:bottom w:w="57" w:type="dxa"/>
              <w:right w:w="57" w:type="dxa"/>
            </w:tcMar>
            <w:vAlign w:val="top"/>
          </w:tcPr>
          <w:p w14:paraId="29EE530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边坡位移量在72小时内连续</w:t>
            </w:r>
            <w:r>
              <w:rPr>
                <w:rFonts w:hint="eastAsia" w:ascii="黑体" w:hAnsi="黑体" w:eastAsia="黑体" w:cs="黑体"/>
                <w:b/>
                <w:bCs/>
                <w:color w:val="009C46"/>
                <w:spacing w:val="0"/>
                <w:sz w:val="21"/>
                <w:szCs w:val="21"/>
              </w:rPr>
              <w:t>出现加速变化的趋势未采取措施</w:t>
            </w:r>
            <w:r>
              <w:rPr>
                <w:rFonts w:hint="eastAsia" w:ascii="仿宋_GB2312" w:hAnsi="仿宋_GB2312" w:eastAsia="仿宋_GB2312" w:cs="仿宋_GB2312"/>
                <w:spacing w:val="0"/>
                <w:sz w:val="21"/>
                <w:szCs w:val="21"/>
                <w:lang w:eastAsia="zh-CN"/>
              </w:rPr>
              <w:t>。</w:t>
            </w:r>
          </w:p>
        </w:tc>
      </w:tr>
      <w:tr w14:paraId="11A91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1E651D8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color w:val="FF0000"/>
                <w:spacing w:val="0"/>
                <w:sz w:val="21"/>
                <w:szCs w:val="21"/>
                <w:lang w:val="en-US" w:eastAsia="zh-CN"/>
              </w:rPr>
              <w:t>新  增</w:t>
            </w:r>
          </w:p>
        </w:tc>
        <w:tc>
          <w:tcPr>
            <w:tcW w:w="4501" w:type="dxa"/>
            <w:tcMar>
              <w:top w:w="57" w:type="dxa"/>
              <w:left w:w="57" w:type="dxa"/>
              <w:bottom w:w="57" w:type="dxa"/>
              <w:right w:w="57" w:type="dxa"/>
            </w:tcMar>
            <w:vAlign w:val="top"/>
          </w:tcPr>
          <w:p w14:paraId="75FB149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四</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出现边坡局部滑坡、横向以及纵向放射状裂缝、坡体前缘上隆</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凸起</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、裂缝持续扩展或者贯通等现象未及时停止作业并撤出影响区域人员</w:t>
            </w:r>
            <w:r>
              <w:rPr>
                <w:rFonts w:hint="eastAsia" w:ascii="黑体" w:hAnsi="黑体" w:eastAsia="黑体" w:cs="黑体"/>
                <w:b w:val="0"/>
                <w:bCs/>
                <w:color w:val="FF0000"/>
                <w:spacing w:val="0"/>
                <w:sz w:val="21"/>
                <w:szCs w:val="21"/>
                <w:lang w:eastAsia="zh-CN"/>
              </w:rPr>
              <w:t>。</w:t>
            </w:r>
          </w:p>
        </w:tc>
      </w:tr>
      <w:tr w14:paraId="1E6EE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12DEE1B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color w:val="auto"/>
                <w:spacing w:val="0"/>
                <w:sz w:val="21"/>
                <w:szCs w:val="21"/>
              </w:rPr>
            </w:pPr>
            <w:r>
              <w:rPr>
                <w:rFonts w:hint="eastAsia" w:ascii="黑体" w:hAnsi="黑体" w:eastAsia="黑体" w:cs="黑体"/>
                <w:b w:val="0"/>
                <w:bCs/>
                <w:color w:val="auto"/>
                <w:spacing w:val="0"/>
                <w:sz w:val="21"/>
                <w:szCs w:val="21"/>
              </w:rPr>
              <w:t>第十六条</w:t>
            </w:r>
            <w:r>
              <w:rPr>
                <w:rFonts w:hint="eastAsia" w:ascii="黑体" w:hAnsi="黑体" w:eastAsia="黑体" w:cs="黑体"/>
                <w:b w:val="0"/>
                <w:bCs/>
                <w:color w:val="auto"/>
                <w:spacing w:val="0"/>
                <w:sz w:val="21"/>
                <w:szCs w:val="21"/>
                <w:lang w:val="en-US" w:eastAsia="zh-CN"/>
              </w:rPr>
              <w:t xml:space="preserve"> </w:t>
            </w:r>
            <w:r>
              <w:rPr>
                <w:rFonts w:hint="eastAsia" w:ascii="黑体" w:hAnsi="黑体" w:eastAsia="黑体" w:cs="黑体"/>
                <w:b w:val="0"/>
                <w:bCs/>
                <w:color w:val="auto"/>
                <w:spacing w:val="0"/>
                <w:sz w:val="21"/>
                <w:szCs w:val="21"/>
              </w:rPr>
              <w:t>“未按照规定采用双回路供电系统”重大事故隐患,是指有下列情形之一的:</w:t>
            </w:r>
          </w:p>
        </w:tc>
      </w:tr>
      <w:tr w14:paraId="69AB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7EA6506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（一）单回路供电的；</w:t>
            </w:r>
          </w:p>
        </w:tc>
        <w:tc>
          <w:tcPr>
            <w:tcW w:w="4501" w:type="dxa"/>
            <w:tcMar>
              <w:top w:w="57" w:type="dxa"/>
              <w:left w:w="57" w:type="dxa"/>
              <w:bottom w:w="57" w:type="dxa"/>
              <w:right w:w="57" w:type="dxa"/>
            </w:tcMar>
            <w:vAlign w:val="center"/>
          </w:tcPr>
          <w:p w14:paraId="58EB2E5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生产矿井单回路供电</w:t>
            </w:r>
            <w:r>
              <w:rPr>
                <w:rFonts w:hint="eastAsia" w:ascii="仿宋_GB2312" w:hAnsi="仿宋_GB2312" w:eastAsia="仿宋_GB2312" w:cs="仿宋_GB2312"/>
                <w:spacing w:val="0"/>
                <w:sz w:val="21"/>
                <w:szCs w:val="21"/>
                <w:lang w:eastAsia="zh-CN"/>
              </w:rPr>
              <w:t>。</w:t>
            </w:r>
          </w:p>
        </w:tc>
      </w:tr>
      <w:tr w14:paraId="25B6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FC1C77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w:t>
            </w:r>
            <w:r>
              <w:rPr>
                <w:rFonts w:hint="eastAsia" w:ascii="黑体" w:hAnsi="黑体" w:eastAsia="黑体" w:cs="黑体"/>
                <w:b/>
                <w:bCs/>
                <w:color w:val="009C46"/>
                <w:spacing w:val="0"/>
                <w:sz w:val="21"/>
                <w:szCs w:val="21"/>
              </w:rPr>
              <w:t>进入二期工程的高瓦斯、煤与瓦斯突出、水文地质类型为复杂和极复杂的建设矿井，以及进入三期工程的其他建设矿井，</w:t>
            </w:r>
            <w:r>
              <w:rPr>
                <w:rFonts w:hint="eastAsia" w:ascii="仿宋_GB2312" w:hAnsi="仿宋_GB2312" w:eastAsia="仿宋_GB2312" w:cs="仿宋_GB2312"/>
                <w:spacing w:val="0"/>
                <w:sz w:val="21"/>
                <w:szCs w:val="21"/>
              </w:rPr>
              <w:t>未形成两回路供电的。</w:t>
            </w:r>
          </w:p>
        </w:tc>
        <w:tc>
          <w:tcPr>
            <w:tcW w:w="4501" w:type="dxa"/>
            <w:tcMar>
              <w:top w:w="57" w:type="dxa"/>
              <w:left w:w="57" w:type="dxa"/>
              <w:bottom w:w="57" w:type="dxa"/>
              <w:right w:w="57" w:type="dxa"/>
            </w:tcMar>
            <w:vAlign w:val="top"/>
          </w:tcPr>
          <w:p w14:paraId="7FF2DD0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黑体" w:hAnsi="黑体" w:eastAsia="黑体" w:cs="黑体"/>
                <w:b/>
                <w:bCs/>
                <w:color w:val="009C46"/>
                <w:spacing w:val="0"/>
                <w:sz w:val="21"/>
                <w:szCs w:val="21"/>
              </w:rPr>
              <w:t>建井期间矿井短路贯通后进入巷道和硐室施工时,</w:t>
            </w:r>
            <w:r>
              <w:rPr>
                <w:rFonts w:hint="eastAsia" w:ascii="仿宋_GB2312" w:hAnsi="仿宋_GB2312" w:eastAsia="仿宋_GB2312" w:cs="仿宋_GB2312"/>
                <w:spacing w:val="0"/>
                <w:sz w:val="21"/>
                <w:szCs w:val="21"/>
              </w:rPr>
              <w:t>未形成双回路供电系统</w:t>
            </w:r>
            <w:r>
              <w:rPr>
                <w:rFonts w:hint="eastAsia" w:ascii="仿宋_GB2312" w:hAnsi="仿宋_GB2312" w:eastAsia="仿宋_GB2312" w:cs="仿宋_GB2312"/>
                <w:spacing w:val="0"/>
                <w:sz w:val="21"/>
                <w:szCs w:val="21"/>
                <w:lang w:eastAsia="zh-CN"/>
              </w:rPr>
              <w:t>。</w:t>
            </w:r>
          </w:p>
        </w:tc>
      </w:tr>
      <w:tr w14:paraId="68A2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5D016B4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（二）有两回路电源线路但取自一个</w:t>
            </w:r>
            <w:r>
              <w:rPr>
                <w:rFonts w:hint="eastAsia" w:ascii="黑体" w:hAnsi="黑体" w:eastAsia="黑体" w:cs="黑体"/>
                <w:b/>
                <w:bCs/>
                <w:color w:val="009C46"/>
                <w:spacing w:val="0"/>
                <w:sz w:val="21"/>
                <w:szCs w:val="21"/>
              </w:rPr>
              <w:t>区域变电所</w:t>
            </w:r>
            <w:r>
              <w:rPr>
                <w:rFonts w:hint="eastAsia" w:ascii="仿宋_GB2312" w:hAnsi="仿宋_GB2312" w:eastAsia="仿宋_GB2312" w:cs="仿宋_GB2312"/>
                <w:spacing w:val="0"/>
                <w:sz w:val="21"/>
                <w:szCs w:val="21"/>
              </w:rPr>
              <w:t>同一母线段的；</w:t>
            </w:r>
          </w:p>
        </w:tc>
        <w:tc>
          <w:tcPr>
            <w:tcW w:w="4501" w:type="dxa"/>
            <w:tcMar>
              <w:top w:w="57" w:type="dxa"/>
              <w:left w:w="57" w:type="dxa"/>
              <w:bottom w:w="57" w:type="dxa"/>
              <w:right w:w="57" w:type="dxa"/>
            </w:tcMar>
            <w:vAlign w:val="top"/>
          </w:tcPr>
          <w:p w14:paraId="50E4E7D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矿井</w:t>
            </w:r>
            <w:r>
              <w:rPr>
                <w:rFonts w:hint="eastAsia" w:ascii="仿宋_GB2312" w:hAnsi="仿宋_GB2312" w:eastAsia="仿宋_GB2312" w:cs="仿宋_GB2312"/>
                <w:spacing w:val="0"/>
                <w:sz w:val="21"/>
                <w:szCs w:val="21"/>
              </w:rPr>
              <w:t>有双回路电源线路但取自</w:t>
            </w:r>
            <w:r>
              <w:rPr>
                <w:rFonts w:hint="eastAsia" w:ascii="黑体" w:hAnsi="黑体" w:eastAsia="黑体" w:cs="黑体"/>
                <w:b/>
                <w:bCs/>
                <w:color w:val="009C46"/>
                <w:spacing w:val="0"/>
                <w:sz w:val="21"/>
                <w:szCs w:val="21"/>
              </w:rPr>
              <w:t>同一变电站</w:t>
            </w:r>
            <w:r>
              <w:rPr>
                <w:rFonts w:hint="eastAsia" w:ascii="仿宋_GB2312" w:hAnsi="仿宋_GB2312" w:eastAsia="仿宋_GB2312" w:cs="仿宋_GB2312"/>
                <w:spacing w:val="0"/>
                <w:sz w:val="21"/>
                <w:szCs w:val="21"/>
              </w:rPr>
              <w:t>同一母线段</w:t>
            </w:r>
            <w:r>
              <w:rPr>
                <w:rFonts w:hint="eastAsia" w:ascii="黑体" w:hAnsi="黑体" w:eastAsia="黑体" w:cs="黑体"/>
                <w:b w:val="0"/>
                <w:bCs/>
                <w:color w:val="FF0000"/>
                <w:spacing w:val="0"/>
                <w:sz w:val="21"/>
                <w:szCs w:val="21"/>
              </w:rPr>
              <w:t>或者矿井有双回路电源线路但其中一回路因故障、检修不能正常运行时,仍然组织生产</w:t>
            </w:r>
            <w:r>
              <w:rPr>
                <w:rFonts w:hint="eastAsia" w:ascii="仿宋_GB2312" w:hAnsi="仿宋_GB2312" w:eastAsia="仿宋_GB2312" w:cs="仿宋_GB2312"/>
                <w:spacing w:val="0"/>
                <w:sz w:val="21"/>
                <w:szCs w:val="21"/>
                <w:lang w:eastAsia="zh-CN"/>
              </w:rPr>
              <w:t>。</w:t>
            </w:r>
          </w:p>
        </w:tc>
      </w:tr>
      <w:tr w14:paraId="49941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3666F99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both"/>
              <w:textAlignment w:val="auto"/>
              <w:rPr>
                <w:rFonts w:hint="eastAsia" w:ascii="仿宋_GB2312" w:hAnsi="仿宋_GB2312" w:eastAsia="仿宋_GB2312" w:cs="仿宋_GB2312"/>
                <w:b w:val="0"/>
                <w:bCs/>
                <w:spacing w:val="0"/>
                <w:sz w:val="21"/>
                <w:szCs w:val="21"/>
              </w:rPr>
            </w:pPr>
            <w:r>
              <w:rPr>
                <w:rFonts w:hint="eastAsia" w:ascii="黑体" w:hAnsi="黑体" w:eastAsia="黑体" w:cs="黑体"/>
                <w:b w:val="0"/>
                <w:bCs/>
                <w:spacing w:val="0"/>
                <w:sz w:val="21"/>
                <w:szCs w:val="21"/>
              </w:rPr>
              <w:t>第十七条 “新建煤矿边建设边生产,煤矿改扩建期间,在改扩建的区域生产,或者在其他区域的生产超出设计规定的范围和规模”重大事故隐患,是指有下列情形之一的:</w:t>
            </w:r>
          </w:p>
        </w:tc>
      </w:tr>
      <w:tr w14:paraId="046C3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7B3F15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（一）建设项目安全设施设计未经审查批准，或者在审查批准后作出重大变更未经再次审查批准擅自组织施工的；</w:t>
            </w:r>
          </w:p>
        </w:tc>
        <w:tc>
          <w:tcPr>
            <w:tcW w:w="4501" w:type="dxa"/>
            <w:shd w:val="clear" w:color="auto" w:fill="auto"/>
            <w:tcMar>
              <w:top w:w="57" w:type="dxa"/>
              <w:left w:w="57" w:type="dxa"/>
              <w:bottom w:w="57" w:type="dxa"/>
              <w:right w:w="57" w:type="dxa"/>
            </w:tcMar>
            <w:vAlign w:val="center"/>
          </w:tcPr>
          <w:p w14:paraId="46C967D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36491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2854FBB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（二）新建煤矿在建设期间组织采煤的（经批准的联合试运转除外）；</w:t>
            </w:r>
          </w:p>
        </w:tc>
        <w:tc>
          <w:tcPr>
            <w:tcW w:w="4501" w:type="dxa"/>
            <w:tcMar>
              <w:top w:w="57" w:type="dxa"/>
              <w:left w:w="57" w:type="dxa"/>
              <w:bottom w:w="57" w:type="dxa"/>
              <w:right w:w="57" w:type="dxa"/>
            </w:tcMar>
            <w:vAlign w:val="top"/>
          </w:tcPr>
          <w:p w14:paraId="10C692D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新建煤矿在建设期间组织采煤</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经</w:t>
            </w:r>
            <w:r>
              <w:rPr>
                <w:rFonts w:hint="eastAsia" w:ascii="黑体" w:hAnsi="黑体" w:eastAsia="黑体" w:cs="黑体"/>
                <w:b w:val="0"/>
                <w:bCs/>
                <w:color w:val="FF0000"/>
                <w:spacing w:val="0"/>
                <w:sz w:val="21"/>
                <w:szCs w:val="21"/>
              </w:rPr>
              <w:t>备案</w:t>
            </w:r>
            <w:r>
              <w:rPr>
                <w:rFonts w:hint="eastAsia" w:ascii="仿宋_GB2312" w:hAnsi="仿宋_GB2312" w:eastAsia="仿宋_GB2312" w:cs="仿宋_GB2312"/>
                <w:spacing w:val="0"/>
                <w:sz w:val="21"/>
                <w:szCs w:val="21"/>
              </w:rPr>
              <w:t>的联合试运转除外</w:t>
            </w:r>
            <w:r>
              <w:rPr>
                <w:rFonts w:hint="eastAsia" w:ascii="仿宋_GB2312" w:hAnsi="仿宋_GB2312" w:eastAsia="仿宋_GB2312" w:cs="仿宋_GB2312"/>
                <w:spacing w:val="0"/>
                <w:sz w:val="21"/>
                <w:szCs w:val="21"/>
                <w:lang w:eastAsia="zh-CN"/>
              </w:rPr>
              <w:t>）。</w:t>
            </w:r>
          </w:p>
        </w:tc>
      </w:tr>
      <w:tr w14:paraId="4ADB9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B64B59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（三）改扩建矿井在改扩建区域</w:t>
            </w:r>
            <w:r>
              <w:rPr>
                <w:rFonts w:hint="eastAsia" w:ascii="黑体" w:hAnsi="黑体" w:eastAsia="黑体" w:cs="黑体"/>
                <w:b/>
                <w:bCs/>
                <w:color w:val="009C46"/>
                <w:spacing w:val="0"/>
                <w:sz w:val="21"/>
                <w:szCs w:val="21"/>
              </w:rPr>
              <w:t>生产</w:t>
            </w:r>
            <w:r>
              <w:rPr>
                <w:rFonts w:hint="eastAsia" w:ascii="仿宋_GB2312" w:hAnsi="仿宋_GB2312" w:eastAsia="仿宋_GB2312" w:cs="仿宋_GB2312"/>
                <w:spacing w:val="0"/>
                <w:sz w:val="21"/>
                <w:szCs w:val="21"/>
              </w:rPr>
              <w:t>的；</w:t>
            </w:r>
          </w:p>
        </w:tc>
        <w:tc>
          <w:tcPr>
            <w:tcW w:w="4501" w:type="dxa"/>
            <w:tcMar>
              <w:top w:w="57" w:type="dxa"/>
              <w:left w:w="57" w:type="dxa"/>
              <w:bottom w:w="57" w:type="dxa"/>
              <w:right w:w="57" w:type="dxa"/>
            </w:tcMar>
            <w:vAlign w:val="top"/>
          </w:tcPr>
          <w:p w14:paraId="3E80953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改扩建煤矿在改扩建区域</w:t>
            </w:r>
            <w:r>
              <w:rPr>
                <w:rFonts w:hint="eastAsia" w:ascii="黑体" w:hAnsi="黑体" w:eastAsia="黑体" w:cs="黑体"/>
                <w:b/>
                <w:bCs/>
                <w:color w:val="009C46"/>
                <w:spacing w:val="0"/>
                <w:sz w:val="21"/>
                <w:szCs w:val="21"/>
              </w:rPr>
              <w:t>组织采煤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经备案的联合试运转除外</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lang w:eastAsia="zh-CN"/>
              </w:rPr>
              <w:t>。</w:t>
            </w:r>
          </w:p>
        </w:tc>
      </w:tr>
      <w:tr w14:paraId="6F14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8ACAEF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（四）改扩建矿井在非改扩建区域超出设计规定范围和规模生产的。</w:t>
            </w:r>
          </w:p>
        </w:tc>
        <w:tc>
          <w:tcPr>
            <w:tcW w:w="4501" w:type="dxa"/>
            <w:tcMar>
              <w:top w:w="57" w:type="dxa"/>
              <w:left w:w="57" w:type="dxa"/>
              <w:bottom w:w="57" w:type="dxa"/>
              <w:right w:w="57" w:type="dxa"/>
            </w:tcMar>
            <w:vAlign w:val="top"/>
          </w:tcPr>
          <w:p w14:paraId="44CBA9F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改扩建煤矿在非改扩建区域超出设计规定范围和规模生产</w:t>
            </w:r>
            <w:r>
              <w:rPr>
                <w:rFonts w:hint="eastAsia" w:ascii="黑体" w:hAnsi="黑体" w:eastAsia="黑体" w:cs="黑体"/>
                <w:b w:val="0"/>
                <w:bCs/>
                <w:color w:val="FF0000"/>
                <w:spacing w:val="0"/>
                <w:sz w:val="21"/>
                <w:szCs w:val="21"/>
              </w:rPr>
              <w:t>建设</w:t>
            </w:r>
            <w:r>
              <w:rPr>
                <w:rFonts w:hint="eastAsia" w:ascii="仿宋_GB2312" w:hAnsi="仿宋_GB2312" w:eastAsia="仿宋_GB2312" w:cs="仿宋_GB2312"/>
                <w:spacing w:val="0"/>
                <w:sz w:val="21"/>
                <w:szCs w:val="21"/>
                <w:lang w:eastAsia="zh-CN"/>
              </w:rPr>
              <w:t>。</w:t>
            </w:r>
          </w:p>
        </w:tc>
      </w:tr>
      <w:tr w14:paraId="0F40B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shd w:val="clear" w:color="auto" w:fill="auto"/>
            <w:tcMar>
              <w:top w:w="57" w:type="dxa"/>
              <w:left w:w="57" w:type="dxa"/>
              <w:bottom w:w="57" w:type="dxa"/>
              <w:right w:w="57" w:type="dxa"/>
            </w:tcMar>
            <w:vAlign w:val="center"/>
          </w:tcPr>
          <w:p w14:paraId="4D76F93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spacing w:val="0"/>
                <w:sz w:val="21"/>
                <w:szCs w:val="21"/>
              </w:rPr>
            </w:pPr>
            <w:r>
              <w:rPr>
                <w:rFonts w:hint="eastAsia" w:ascii="黑体" w:hAnsi="黑体" w:eastAsia="黑体" w:cs="黑体"/>
                <w:b w:val="0"/>
                <w:bCs/>
                <w:spacing w:val="0"/>
                <w:sz w:val="21"/>
                <w:szCs w:val="21"/>
              </w:rPr>
              <w:t>第十八条 “</w:t>
            </w:r>
            <w:r>
              <w:rPr>
                <w:rFonts w:hint="eastAsia" w:ascii="黑体" w:hAnsi="黑体" w:eastAsia="黑体" w:cs="黑体"/>
                <w:strike/>
                <w:dstrike w:val="0"/>
                <w:color w:val="0000FF"/>
                <w:spacing w:val="0"/>
                <w:sz w:val="21"/>
                <w:szCs w:val="21"/>
                <w:lang w:val="en-US" w:eastAsia="zh-CN"/>
              </w:rPr>
              <w:t>煤矿</w:t>
            </w:r>
            <w:r>
              <w:rPr>
                <w:rFonts w:hint="eastAsia" w:ascii="黑体" w:hAnsi="黑体" w:eastAsia="黑体" w:cs="黑体"/>
                <w:b w:val="0"/>
                <w:bCs/>
                <w:spacing w:val="0"/>
                <w:sz w:val="21"/>
                <w:szCs w:val="21"/>
              </w:rPr>
              <w:t>实行整体承包生产经营后,未重新取得或者及时变更安全生产许可证而从事生产,或者承包方再次转包,以及将井下采掘工作面和井巷维修作业外包”重大事故隐患,是指有下列情形之一的:</w:t>
            </w:r>
          </w:p>
        </w:tc>
      </w:tr>
      <w:tr w14:paraId="4F570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73615AD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（一）煤矿未采取整体承包形式进行发包，</w:t>
            </w:r>
            <w:r>
              <w:rPr>
                <w:rFonts w:hint="eastAsia" w:ascii="黑体" w:hAnsi="黑体" w:eastAsia="黑体" w:cs="黑体"/>
                <w:strike/>
                <w:dstrike w:val="0"/>
                <w:color w:val="0000FF"/>
                <w:spacing w:val="0"/>
                <w:sz w:val="21"/>
                <w:szCs w:val="21"/>
              </w:rPr>
              <w:t>或者将</w:t>
            </w:r>
            <w:r>
              <w:rPr>
                <w:rFonts w:hint="eastAsia" w:ascii="仿宋_GB2312" w:hAnsi="仿宋_GB2312" w:eastAsia="仿宋_GB2312" w:cs="仿宋_GB2312"/>
                <w:spacing w:val="0"/>
                <w:sz w:val="21"/>
                <w:szCs w:val="21"/>
              </w:rPr>
              <w:t>煤矿整体发包给不具有法人资格或者未取得合法有效营业执照的单位或者个人的；</w:t>
            </w:r>
          </w:p>
        </w:tc>
        <w:tc>
          <w:tcPr>
            <w:tcW w:w="4501" w:type="dxa"/>
            <w:tcMar>
              <w:top w:w="57" w:type="dxa"/>
              <w:left w:w="57" w:type="dxa"/>
              <w:bottom w:w="57" w:type="dxa"/>
              <w:right w:w="57" w:type="dxa"/>
            </w:tcMar>
            <w:vAlign w:val="center"/>
          </w:tcPr>
          <w:p w14:paraId="30208B1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矿井未采取整体承包形式进行发包</w:t>
            </w:r>
            <w:r>
              <w:rPr>
                <w:rFonts w:hint="eastAsia" w:ascii="仿宋_GB2312" w:hAnsi="仿宋_GB2312" w:eastAsia="仿宋_GB2312" w:cs="仿宋_GB2312"/>
                <w:spacing w:val="0"/>
                <w:sz w:val="21"/>
                <w:szCs w:val="21"/>
                <w:lang w:eastAsia="zh-CN"/>
              </w:rPr>
              <w:t>。</w:t>
            </w:r>
          </w:p>
        </w:tc>
      </w:tr>
      <w:tr w14:paraId="4BB79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1F6B5C1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strike/>
                <w:dstrike w:val="0"/>
                <w:color w:val="0000FF"/>
                <w:spacing w:val="0"/>
                <w:sz w:val="21"/>
                <w:szCs w:val="21"/>
              </w:rPr>
            </w:pPr>
          </w:p>
        </w:tc>
        <w:tc>
          <w:tcPr>
            <w:tcW w:w="4501" w:type="dxa"/>
            <w:shd w:val="clear" w:color="auto" w:fill="auto"/>
            <w:tcMar>
              <w:top w:w="57" w:type="dxa"/>
              <w:left w:w="57" w:type="dxa"/>
              <w:bottom w:w="57" w:type="dxa"/>
              <w:right w:w="57" w:type="dxa"/>
            </w:tcMar>
            <w:vAlign w:val="center"/>
          </w:tcPr>
          <w:p w14:paraId="18AB2F7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矿井整体发包给不具有法人资格或者未取得合法有效营业执照的单位或者个人</w:t>
            </w:r>
            <w:r>
              <w:rPr>
                <w:rFonts w:hint="eastAsia" w:ascii="仿宋_GB2312" w:hAnsi="仿宋_GB2312" w:eastAsia="仿宋_GB2312" w:cs="仿宋_GB2312"/>
                <w:spacing w:val="0"/>
                <w:sz w:val="21"/>
                <w:szCs w:val="21"/>
                <w:lang w:eastAsia="zh-CN"/>
              </w:rPr>
              <w:t>。</w:t>
            </w:r>
          </w:p>
        </w:tc>
      </w:tr>
      <w:tr w14:paraId="7F849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601982D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（二）实行整体承包的煤矿，未签订安全生产管理协议，或者未按照国家规定约定双方安全生产管理职责而进行生产的；</w:t>
            </w:r>
          </w:p>
        </w:tc>
        <w:tc>
          <w:tcPr>
            <w:tcW w:w="4501" w:type="dxa"/>
            <w:shd w:val="clear" w:color="auto" w:fill="auto"/>
            <w:tcMar>
              <w:top w:w="57" w:type="dxa"/>
              <w:left w:w="57" w:type="dxa"/>
              <w:bottom w:w="57" w:type="dxa"/>
              <w:right w:w="57" w:type="dxa"/>
            </w:tcMar>
            <w:vAlign w:val="center"/>
          </w:tcPr>
          <w:p w14:paraId="0922C1F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r w14:paraId="22C8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top"/>
          </w:tcPr>
          <w:p w14:paraId="4D820C4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zh-CN" w:eastAsia="zh-CN" w:bidi="zh-CN"/>
              </w:rPr>
            </w:pPr>
            <w:r>
              <w:rPr>
                <w:rFonts w:hint="eastAsia" w:ascii="仿宋_GB2312" w:hAnsi="仿宋_GB2312" w:eastAsia="仿宋_GB2312" w:cs="仿宋_GB2312"/>
                <w:spacing w:val="0"/>
                <w:sz w:val="21"/>
                <w:szCs w:val="21"/>
              </w:rPr>
              <w:t>（三）实行整体承包的</w:t>
            </w:r>
            <w:r>
              <w:rPr>
                <w:rFonts w:hint="eastAsia" w:ascii="黑体" w:hAnsi="黑体" w:eastAsia="黑体" w:cs="黑体"/>
                <w:b/>
                <w:bCs/>
                <w:color w:val="009C46"/>
                <w:spacing w:val="0"/>
                <w:sz w:val="21"/>
                <w:szCs w:val="21"/>
              </w:rPr>
              <w:t>煤矿</w:t>
            </w:r>
            <w:r>
              <w:rPr>
                <w:rFonts w:hint="eastAsia" w:ascii="仿宋_GB2312" w:hAnsi="仿宋_GB2312" w:eastAsia="仿宋_GB2312" w:cs="仿宋_GB2312"/>
                <w:spacing w:val="0"/>
                <w:sz w:val="21"/>
                <w:szCs w:val="21"/>
              </w:rPr>
              <w:t>，未重新取得或者变更安全生产许可证进行生产的；</w:t>
            </w:r>
          </w:p>
        </w:tc>
        <w:tc>
          <w:tcPr>
            <w:tcW w:w="4501" w:type="dxa"/>
            <w:shd w:val="clear" w:color="auto" w:fill="auto"/>
            <w:tcMar>
              <w:top w:w="57" w:type="dxa"/>
              <w:left w:w="57" w:type="dxa"/>
              <w:bottom w:w="57" w:type="dxa"/>
              <w:right w:w="57" w:type="dxa"/>
            </w:tcMar>
            <w:vAlign w:val="top"/>
          </w:tcPr>
          <w:p w14:paraId="60611BC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val="en-US" w:eastAsia="zh-CN"/>
              </w:rPr>
              <w:t>（三）实行整体承包的</w:t>
            </w:r>
            <w:r>
              <w:rPr>
                <w:rFonts w:hint="eastAsia" w:ascii="黑体" w:hAnsi="黑体" w:eastAsia="黑体" w:cs="黑体"/>
                <w:b/>
                <w:bCs/>
                <w:color w:val="009C46"/>
                <w:spacing w:val="0"/>
                <w:sz w:val="21"/>
                <w:szCs w:val="21"/>
                <w:lang w:val="en-US" w:eastAsia="zh-CN"/>
              </w:rPr>
              <w:t>矿井</w:t>
            </w:r>
            <w:r>
              <w:rPr>
                <w:rFonts w:hint="eastAsia" w:ascii="仿宋_GB2312" w:hAnsi="仿宋_GB2312" w:eastAsia="仿宋_GB2312" w:cs="仿宋_GB2312"/>
                <w:spacing w:val="0"/>
                <w:sz w:val="21"/>
                <w:szCs w:val="21"/>
                <w:lang w:val="en-US" w:eastAsia="zh-CN"/>
              </w:rPr>
              <w:t>,未重新取得或者变更安全生产许可证进行生产。</w:t>
            </w:r>
          </w:p>
        </w:tc>
      </w:tr>
      <w:tr w14:paraId="6FDD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top"/>
          </w:tcPr>
          <w:p w14:paraId="4E53C18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zh-CN" w:eastAsia="zh-CN" w:bidi="zh-CN"/>
              </w:rPr>
            </w:pPr>
            <w:r>
              <w:rPr>
                <w:rFonts w:hint="eastAsia" w:ascii="仿宋_GB2312" w:hAnsi="仿宋_GB2312" w:eastAsia="仿宋_GB2312" w:cs="仿宋_GB2312"/>
                <w:spacing w:val="0"/>
                <w:sz w:val="21"/>
                <w:szCs w:val="21"/>
              </w:rPr>
              <w:t>（四）实行整体承包的</w:t>
            </w:r>
            <w:r>
              <w:rPr>
                <w:rFonts w:hint="eastAsia" w:ascii="黑体" w:hAnsi="黑体" w:eastAsia="黑体" w:cs="黑体"/>
                <w:b/>
                <w:bCs/>
                <w:color w:val="009C46"/>
                <w:spacing w:val="0"/>
                <w:sz w:val="21"/>
                <w:szCs w:val="21"/>
              </w:rPr>
              <w:t>煤矿</w:t>
            </w:r>
            <w:r>
              <w:rPr>
                <w:rFonts w:hint="eastAsia" w:ascii="仿宋_GB2312" w:hAnsi="仿宋_GB2312" w:eastAsia="仿宋_GB2312" w:cs="仿宋_GB2312"/>
                <w:spacing w:val="0"/>
                <w:sz w:val="21"/>
                <w:szCs w:val="21"/>
              </w:rPr>
              <w:t>，承包方再次将</w:t>
            </w:r>
            <w:r>
              <w:rPr>
                <w:rFonts w:hint="eastAsia" w:ascii="黑体" w:hAnsi="黑体" w:eastAsia="黑体" w:cs="黑体"/>
                <w:b/>
                <w:bCs/>
                <w:color w:val="009C46"/>
                <w:spacing w:val="0"/>
                <w:sz w:val="21"/>
                <w:szCs w:val="21"/>
              </w:rPr>
              <w:t>煤矿</w:t>
            </w:r>
            <w:r>
              <w:rPr>
                <w:rFonts w:hint="eastAsia" w:ascii="仿宋_GB2312" w:hAnsi="仿宋_GB2312" w:eastAsia="仿宋_GB2312" w:cs="仿宋_GB2312"/>
                <w:spacing w:val="0"/>
                <w:sz w:val="21"/>
                <w:szCs w:val="21"/>
              </w:rPr>
              <w:t>转包给其他单位或者个人的；</w:t>
            </w:r>
          </w:p>
        </w:tc>
        <w:tc>
          <w:tcPr>
            <w:tcW w:w="4501" w:type="dxa"/>
            <w:shd w:val="clear" w:color="auto" w:fill="auto"/>
            <w:tcMar>
              <w:top w:w="57" w:type="dxa"/>
              <w:left w:w="57" w:type="dxa"/>
              <w:bottom w:w="57" w:type="dxa"/>
              <w:right w:w="57" w:type="dxa"/>
            </w:tcMar>
            <w:vAlign w:val="top"/>
          </w:tcPr>
          <w:p w14:paraId="5760569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（四）实行整体承包的</w:t>
            </w:r>
            <w:r>
              <w:rPr>
                <w:rFonts w:hint="eastAsia" w:ascii="黑体" w:hAnsi="黑体" w:eastAsia="黑体" w:cs="黑体"/>
                <w:b/>
                <w:bCs/>
                <w:color w:val="009C46"/>
                <w:spacing w:val="0"/>
                <w:sz w:val="21"/>
                <w:szCs w:val="21"/>
                <w:lang w:val="en-US" w:eastAsia="zh-CN"/>
              </w:rPr>
              <w:t>矿井</w:t>
            </w:r>
            <w:r>
              <w:rPr>
                <w:rFonts w:hint="eastAsia" w:ascii="仿宋_GB2312" w:hAnsi="仿宋_GB2312" w:eastAsia="仿宋_GB2312" w:cs="仿宋_GB2312"/>
                <w:spacing w:val="0"/>
                <w:sz w:val="21"/>
                <w:szCs w:val="21"/>
              </w:rPr>
              <w:t>,承包方再次将</w:t>
            </w:r>
            <w:r>
              <w:rPr>
                <w:rFonts w:hint="eastAsia" w:ascii="黑体" w:hAnsi="黑体" w:eastAsia="黑体" w:cs="黑体"/>
                <w:b/>
                <w:bCs/>
                <w:color w:val="009C46"/>
                <w:spacing w:val="0"/>
                <w:sz w:val="21"/>
                <w:szCs w:val="21"/>
              </w:rPr>
              <w:t>矿井</w:t>
            </w:r>
            <w:r>
              <w:rPr>
                <w:rFonts w:hint="eastAsia" w:ascii="仿宋_GB2312" w:hAnsi="仿宋_GB2312" w:eastAsia="仿宋_GB2312" w:cs="仿宋_GB2312"/>
                <w:spacing w:val="0"/>
                <w:sz w:val="21"/>
                <w:szCs w:val="21"/>
              </w:rPr>
              <w:t>转包</w:t>
            </w:r>
            <w:r>
              <w:rPr>
                <w:rFonts w:hint="eastAsia" w:ascii="黑体" w:hAnsi="黑体" w:eastAsia="黑体" w:cs="黑体"/>
                <w:b w:val="0"/>
                <w:bCs/>
                <w:color w:val="FF0000"/>
                <w:spacing w:val="0"/>
                <w:sz w:val="21"/>
                <w:szCs w:val="21"/>
              </w:rPr>
              <w:t>、分包</w:t>
            </w:r>
            <w:r>
              <w:rPr>
                <w:rFonts w:hint="eastAsia" w:ascii="仿宋_GB2312" w:hAnsi="仿宋_GB2312" w:eastAsia="仿宋_GB2312" w:cs="仿宋_GB2312"/>
                <w:spacing w:val="0"/>
                <w:sz w:val="21"/>
                <w:szCs w:val="21"/>
              </w:rPr>
              <w:t>给其他单位或者个人。</w:t>
            </w:r>
          </w:p>
        </w:tc>
      </w:tr>
      <w:tr w14:paraId="22A4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2F6ADEA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（五）井工煤矿将井下采掘作业或者井巷维修作业</w:t>
            </w:r>
            <w:r>
              <w:rPr>
                <w:rFonts w:hint="eastAsia" w:ascii="黑体" w:hAnsi="黑体" w:eastAsia="黑体" w:cs="黑体"/>
                <w:b/>
                <w:bCs/>
                <w:color w:val="009C46"/>
                <w:spacing w:val="0"/>
                <w:sz w:val="21"/>
                <w:szCs w:val="21"/>
              </w:rPr>
              <w:t>（井筒及井下新水平延深的井底车场、主运输、主通风、主排水、主要机电硐室开拓工程除外）</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作为独立工程发包给</w:t>
            </w:r>
            <w:r>
              <w:rPr>
                <w:rFonts w:hint="eastAsia" w:ascii="黑体" w:hAnsi="黑体" w:eastAsia="黑体" w:cs="黑体"/>
                <w:b/>
                <w:bCs/>
                <w:color w:val="009C46"/>
                <w:spacing w:val="0"/>
                <w:sz w:val="21"/>
                <w:szCs w:val="21"/>
              </w:rPr>
              <w:t>其他企业</w:t>
            </w:r>
            <w:r>
              <w:rPr>
                <w:rFonts w:hint="eastAsia" w:ascii="仿宋_GB2312" w:hAnsi="仿宋_GB2312" w:eastAsia="仿宋_GB2312" w:cs="仿宋_GB2312"/>
                <w:spacing w:val="0"/>
                <w:sz w:val="21"/>
                <w:szCs w:val="21"/>
              </w:rPr>
              <w:t>或者个人的，</w:t>
            </w:r>
            <w:r>
              <w:rPr>
                <w:rFonts w:hint="eastAsia" w:ascii="黑体" w:hAnsi="黑体" w:eastAsia="黑体" w:cs="黑体"/>
                <w:b/>
                <w:bCs/>
                <w:color w:val="009C46"/>
                <w:spacing w:val="0"/>
                <w:sz w:val="21"/>
                <w:szCs w:val="21"/>
              </w:rPr>
              <w:t>以及转包井下新水平延深开拓工程的</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w:t>
            </w:r>
          </w:p>
          <w:p w14:paraId="7A4475C6">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*范围从“采掘作业”分列“采煤作业”和“井下掘进作业或者井巷维修”两部分,增加无人驾驶例外</w:t>
            </w:r>
            <w:r>
              <w:rPr>
                <w:rFonts w:hint="eastAsia" w:ascii="黑体" w:hAnsi="黑体" w:eastAsia="黑体" w:cs="黑体"/>
                <w:b/>
                <w:bCs/>
                <w:color w:val="E46C0A" w:themeColor="accent6" w:themeShade="BF"/>
                <w:spacing w:val="0"/>
                <w:sz w:val="18"/>
                <w:szCs w:val="18"/>
                <w:lang w:val="en-US" w:eastAsia="zh-CN"/>
              </w:rPr>
              <w:br w:type="textWrapping"/>
            </w:r>
            <w:r>
              <w:rPr>
                <w:rFonts w:hint="eastAsia" w:ascii="黑体" w:hAnsi="黑体" w:eastAsia="黑体" w:cs="黑体"/>
                <w:b/>
                <w:bCs/>
                <w:color w:val="E46C0A" w:themeColor="accent6" w:themeShade="BF"/>
                <w:spacing w:val="0"/>
                <w:sz w:val="18"/>
                <w:szCs w:val="18"/>
                <w:lang w:val="en-US" w:eastAsia="zh-CN"/>
              </w:rPr>
              <w:t>*掘进和维修，增加“隶属同一煤矿企业 ”例外</w:t>
            </w:r>
          </w:p>
        </w:tc>
        <w:tc>
          <w:tcPr>
            <w:tcW w:w="4501" w:type="dxa"/>
            <w:shd w:val="clear" w:color="auto" w:fill="auto"/>
            <w:tcMar>
              <w:top w:w="57" w:type="dxa"/>
              <w:left w:w="57" w:type="dxa"/>
              <w:bottom w:w="57" w:type="dxa"/>
              <w:right w:w="57" w:type="dxa"/>
            </w:tcMar>
            <w:vAlign w:val="top"/>
          </w:tcPr>
          <w:p w14:paraId="794E7BB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五</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井工煤矿将井下采煤作业</w:t>
            </w:r>
            <w:r>
              <w:rPr>
                <w:rFonts w:hint="eastAsia" w:ascii="黑体" w:hAnsi="黑体" w:eastAsia="黑体" w:cs="黑体"/>
                <w:b w:val="0"/>
                <w:bCs/>
                <w:color w:val="FF0000"/>
                <w:spacing w:val="0"/>
                <w:sz w:val="21"/>
                <w:szCs w:val="21"/>
              </w:rPr>
              <w:t>,露天煤矿将坑下采煤工程</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包括采装、运输</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作为独立工程发包给</w:t>
            </w:r>
            <w:r>
              <w:rPr>
                <w:rFonts w:hint="eastAsia" w:ascii="黑体" w:hAnsi="黑体" w:eastAsia="黑体" w:cs="黑体"/>
                <w:b/>
                <w:bCs/>
                <w:color w:val="009C46"/>
                <w:spacing w:val="0"/>
                <w:sz w:val="21"/>
                <w:szCs w:val="21"/>
              </w:rPr>
              <w:t>其他单位</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完全实现无人驾驶运输的露天煤矿承包单位除外</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或者个人</w:t>
            </w:r>
            <w:r>
              <w:rPr>
                <w:rFonts w:hint="eastAsia" w:ascii="仿宋_GB2312" w:hAnsi="仿宋_GB2312" w:eastAsia="仿宋_GB2312" w:cs="仿宋_GB2312"/>
                <w:spacing w:val="0"/>
                <w:sz w:val="21"/>
                <w:szCs w:val="21"/>
                <w:lang w:eastAsia="zh-CN"/>
              </w:rPr>
              <w:t>。</w:t>
            </w:r>
          </w:p>
        </w:tc>
      </w:tr>
      <w:tr w14:paraId="78BC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19EC043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黑体" w:hAnsi="黑体" w:eastAsia="黑体" w:cs="黑体"/>
                <w:b w:val="0"/>
                <w:bCs/>
                <w:color w:val="auto"/>
                <w:spacing w:val="0"/>
                <w:sz w:val="21"/>
                <w:szCs w:val="21"/>
                <w:lang w:val="en-US" w:eastAsia="zh-CN"/>
              </w:rPr>
            </w:pPr>
          </w:p>
        </w:tc>
        <w:tc>
          <w:tcPr>
            <w:tcW w:w="4501" w:type="dxa"/>
            <w:tcMar>
              <w:top w:w="57" w:type="dxa"/>
              <w:left w:w="57" w:type="dxa"/>
              <w:bottom w:w="57" w:type="dxa"/>
              <w:right w:w="57" w:type="dxa"/>
            </w:tcMar>
            <w:vAlign w:val="top"/>
          </w:tcPr>
          <w:p w14:paraId="7C2D548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六</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矿井将井下掘进作业或者井巷维修作业</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rPr>
              <w:t>井筒,井下煤仓,井下新水平延深的井底车场、主运输、主通风、主排水、主要机电硐室岩石开拓工程除外</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作为独立工程发包给</w:t>
            </w:r>
            <w:r>
              <w:rPr>
                <w:rFonts w:hint="eastAsia" w:ascii="黑体" w:hAnsi="黑体" w:eastAsia="黑体" w:cs="黑体"/>
                <w:b/>
                <w:bCs/>
                <w:color w:val="009C46"/>
                <w:spacing w:val="0"/>
                <w:sz w:val="21"/>
                <w:szCs w:val="21"/>
              </w:rPr>
              <w:t>其他单位</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与发包矿井隶属同一煤矿企业的单位除外</w:t>
            </w:r>
            <w:r>
              <w:rPr>
                <w:rFonts w:hint="eastAsia" w:ascii="黑体" w:hAnsi="黑体" w:eastAsia="黑体" w:cs="黑体"/>
                <w:b w:val="0"/>
                <w:bCs/>
                <w:color w:val="FF0000"/>
                <w:spacing w:val="0"/>
                <w:sz w:val="21"/>
                <w:szCs w:val="21"/>
                <w:lang w:eastAsia="zh-CN"/>
              </w:rPr>
              <w:t>）</w:t>
            </w:r>
            <w:r>
              <w:rPr>
                <w:rFonts w:hint="eastAsia" w:ascii="仿宋_GB2312" w:hAnsi="仿宋_GB2312" w:eastAsia="仿宋_GB2312" w:cs="仿宋_GB2312"/>
                <w:spacing w:val="0"/>
                <w:sz w:val="21"/>
                <w:szCs w:val="21"/>
              </w:rPr>
              <w:t>或者个人</w:t>
            </w:r>
            <w:r>
              <w:rPr>
                <w:rFonts w:hint="eastAsia" w:ascii="仿宋_GB2312" w:hAnsi="仿宋_GB2312" w:eastAsia="仿宋_GB2312" w:cs="仿宋_GB2312"/>
                <w:spacing w:val="0"/>
                <w:sz w:val="21"/>
                <w:szCs w:val="21"/>
                <w:lang w:eastAsia="zh-CN"/>
              </w:rPr>
              <w:t>。</w:t>
            </w:r>
          </w:p>
        </w:tc>
      </w:tr>
      <w:tr w14:paraId="46518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6C483C5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黑体" w:hAnsi="黑体" w:eastAsia="黑体" w:cs="黑体"/>
                <w:b w:val="0"/>
                <w:bCs/>
                <w:color w:val="auto"/>
                <w:spacing w:val="0"/>
                <w:sz w:val="21"/>
                <w:szCs w:val="21"/>
                <w:lang w:val="en-US" w:eastAsia="zh-CN"/>
              </w:rPr>
            </w:pPr>
          </w:p>
        </w:tc>
        <w:tc>
          <w:tcPr>
            <w:tcW w:w="4501" w:type="dxa"/>
            <w:tcMar>
              <w:top w:w="57" w:type="dxa"/>
              <w:left w:w="57" w:type="dxa"/>
              <w:bottom w:w="57" w:type="dxa"/>
              <w:right w:w="57" w:type="dxa"/>
            </w:tcMar>
            <w:vAlign w:val="top"/>
          </w:tcPr>
          <w:p w14:paraId="39D96D1C">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七</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承包方存在施工队伍挂靠情形或者将井筒、井下煤仓、</w:t>
            </w:r>
            <w:r>
              <w:rPr>
                <w:rFonts w:hint="eastAsia" w:ascii="黑体" w:hAnsi="黑体" w:eastAsia="黑体" w:cs="黑体"/>
                <w:b/>
                <w:bCs/>
                <w:color w:val="009C46"/>
                <w:spacing w:val="0"/>
                <w:sz w:val="21"/>
                <w:szCs w:val="21"/>
              </w:rPr>
              <w:t>井下新水平延深岩石开拓工程转包</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lang w:eastAsia="zh-CN"/>
              </w:rPr>
              <w:t>。</w:t>
            </w:r>
          </w:p>
        </w:tc>
      </w:tr>
      <w:tr w14:paraId="65319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top"/>
          </w:tcPr>
          <w:p w14:paraId="52CD722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b w:val="0"/>
                <w:bCs/>
                <w:color w:val="auto"/>
                <w:spacing w:val="0"/>
                <w:sz w:val="21"/>
                <w:szCs w:val="21"/>
                <w:lang w:val="en-US" w:eastAsia="zh-CN"/>
              </w:rPr>
            </w:pPr>
            <w:r>
              <w:rPr>
                <w:rFonts w:hint="eastAsia" w:ascii="黑体" w:hAnsi="黑体" w:eastAsia="黑体" w:cs="黑体"/>
                <w:b w:val="0"/>
                <w:bCs/>
                <w:color w:val="auto"/>
                <w:spacing w:val="0"/>
                <w:sz w:val="21"/>
                <w:szCs w:val="21"/>
                <w:lang w:val="en-US" w:eastAsia="zh-CN"/>
              </w:rPr>
              <w:t>第</w:t>
            </w:r>
            <w:r>
              <w:rPr>
                <w:rFonts w:hint="eastAsia" w:ascii="黑体" w:hAnsi="黑体" w:eastAsia="黑体" w:cs="黑体"/>
                <w:b w:val="0"/>
                <w:bCs/>
                <w:color w:val="auto"/>
                <w:spacing w:val="0"/>
                <w:sz w:val="21"/>
                <w:szCs w:val="21"/>
              </w:rPr>
              <w:t>十九条</w:t>
            </w:r>
            <w:r>
              <w:rPr>
                <w:rFonts w:hint="eastAsia" w:ascii="黑体" w:hAnsi="黑体" w:eastAsia="黑体" w:cs="黑体"/>
                <w:b w:val="0"/>
                <w:bCs/>
                <w:color w:val="auto"/>
                <w:spacing w:val="0"/>
                <w:sz w:val="21"/>
                <w:szCs w:val="21"/>
                <w:lang w:val="en-US" w:eastAsia="zh-CN"/>
              </w:rPr>
              <w:t xml:space="preserve"> </w:t>
            </w:r>
            <w:r>
              <w:rPr>
                <w:rFonts w:hint="eastAsia" w:ascii="黑体" w:hAnsi="黑体" w:eastAsia="黑体" w:cs="黑体"/>
                <w:b w:val="0"/>
                <w:bCs/>
                <w:color w:val="auto"/>
                <w:spacing w:val="0"/>
                <w:sz w:val="21"/>
                <w:szCs w:val="21"/>
              </w:rPr>
              <w:t>“改制、合并、分立期间,未明确安全生产责任人和安全生产管理机构,或者在完成改制、合并、分立后,未重新取得或者及时变更安全生产许可证等”重大事故隐患,是指有下列情形之一的:</w:t>
            </w:r>
          </w:p>
        </w:tc>
      </w:tr>
      <w:tr w14:paraId="1E327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1388CDF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（一）改制期间，未明确安全生产责任人进行生产建设的；</w:t>
            </w:r>
          </w:p>
        </w:tc>
        <w:tc>
          <w:tcPr>
            <w:tcW w:w="4501" w:type="dxa"/>
            <w:tcMar>
              <w:top w:w="57" w:type="dxa"/>
              <w:left w:w="57" w:type="dxa"/>
              <w:bottom w:w="57" w:type="dxa"/>
              <w:right w:w="57" w:type="dxa"/>
            </w:tcMar>
            <w:vAlign w:val="top"/>
          </w:tcPr>
          <w:p w14:paraId="54C9655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spacing w:val="0"/>
                <w:sz w:val="21"/>
                <w:szCs w:val="21"/>
                <w:lang w:eastAsia="zh-CN"/>
              </w:rPr>
            </w:pPr>
            <w:r>
              <w:rPr>
                <w:rFonts w:hint="eastAsia" w:ascii="仿宋_GB2312" w:hAnsi="仿宋_GB2312" w:eastAsia="仿宋_GB2312" w:cs="仿宋_GB2312"/>
                <w:spacing w:val="0"/>
                <w:sz w:val="21"/>
                <w:szCs w:val="21"/>
              </w:rPr>
              <w:t>（一）改制</w:t>
            </w:r>
            <w:r>
              <w:rPr>
                <w:rFonts w:hint="eastAsia" w:ascii="黑体" w:hAnsi="黑体" w:eastAsia="黑体" w:cs="黑体"/>
                <w:b w:val="0"/>
                <w:bCs/>
                <w:color w:val="FF0000"/>
                <w:spacing w:val="0"/>
                <w:sz w:val="21"/>
                <w:szCs w:val="21"/>
              </w:rPr>
              <w:t>、合并、分立</w:t>
            </w:r>
            <w:r>
              <w:rPr>
                <w:rFonts w:hint="eastAsia" w:ascii="仿宋_GB2312" w:hAnsi="仿宋_GB2312" w:eastAsia="仿宋_GB2312" w:cs="仿宋_GB2312"/>
                <w:spacing w:val="0"/>
                <w:sz w:val="21"/>
                <w:szCs w:val="21"/>
              </w:rPr>
              <w:t>期间，未明确</w:t>
            </w:r>
            <w:r>
              <w:rPr>
                <w:rFonts w:hint="eastAsia" w:ascii="黑体" w:hAnsi="黑体" w:eastAsia="黑体" w:cs="黑体"/>
                <w:b w:val="0"/>
                <w:bCs/>
                <w:color w:val="FF0000"/>
                <w:spacing w:val="0"/>
                <w:sz w:val="21"/>
                <w:szCs w:val="21"/>
              </w:rPr>
              <w:t>安全生产责任主体或</w:t>
            </w:r>
            <w:r>
              <w:rPr>
                <w:rFonts w:hint="eastAsia" w:ascii="黑体" w:hAnsi="黑体" w:eastAsia="黑体" w:cs="黑体"/>
                <w:b w:val="0"/>
                <w:bCs/>
                <w:color w:val="FF0000"/>
                <w:spacing w:val="0"/>
                <w:sz w:val="21"/>
                <w:szCs w:val="21"/>
                <w:lang w:val="en-US" w:eastAsia="zh-CN"/>
              </w:rPr>
              <w:t>者</w:t>
            </w:r>
            <w:r>
              <w:rPr>
                <w:rFonts w:hint="eastAsia" w:ascii="仿宋_GB2312" w:hAnsi="仿宋_GB2312" w:eastAsia="仿宋_GB2312" w:cs="仿宋_GB2312"/>
                <w:spacing w:val="0"/>
                <w:sz w:val="21"/>
                <w:szCs w:val="21"/>
              </w:rPr>
              <w:t>安全生产</w:t>
            </w:r>
            <w:r>
              <w:rPr>
                <w:rFonts w:hint="eastAsia" w:ascii="黑体" w:hAnsi="黑体" w:eastAsia="黑体" w:cs="黑体"/>
                <w:b w:val="0"/>
                <w:bCs/>
                <w:color w:val="FF0000"/>
                <w:spacing w:val="0"/>
                <w:sz w:val="21"/>
                <w:szCs w:val="21"/>
              </w:rPr>
              <w:t>第一</w:t>
            </w:r>
            <w:r>
              <w:rPr>
                <w:rFonts w:hint="eastAsia" w:ascii="仿宋_GB2312" w:hAnsi="仿宋_GB2312" w:eastAsia="仿宋_GB2312" w:cs="仿宋_GB2312"/>
                <w:spacing w:val="0"/>
                <w:sz w:val="21"/>
                <w:szCs w:val="21"/>
              </w:rPr>
              <w:t>责任人进行生产建设</w:t>
            </w:r>
            <w:r>
              <w:rPr>
                <w:rFonts w:hint="eastAsia" w:ascii="仿宋_GB2312" w:hAnsi="仿宋_GB2312" w:eastAsia="仿宋_GB2312" w:cs="仿宋_GB2312"/>
                <w:spacing w:val="0"/>
                <w:sz w:val="21"/>
                <w:szCs w:val="21"/>
                <w:lang w:eastAsia="zh-CN"/>
              </w:rPr>
              <w:t>。</w:t>
            </w:r>
          </w:p>
        </w:tc>
      </w:tr>
      <w:tr w14:paraId="14F33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890B17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（二）</w:t>
            </w:r>
            <w:r>
              <w:rPr>
                <w:rFonts w:hint="eastAsia" w:ascii="黑体" w:hAnsi="黑体" w:eastAsia="黑体" w:cs="黑体"/>
                <w:strike/>
                <w:dstrike w:val="0"/>
                <w:color w:val="0000FF"/>
                <w:spacing w:val="0"/>
                <w:sz w:val="21"/>
                <w:szCs w:val="21"/>
              </w:rPr>
              <w:t>改制期间，未健全安全生产管理机构和配备安全管理人员进行生产建设的；</w:t>
            </w:r>
          </w:p>
        </w:tc>
        <w:tc>
          <w:tcPr>
            <w:tcW w:w="4501" w:type="dxa"/>
            <w:tcMar>
              <w:top w:w="57" w:type="dxa"/>
              <w:left w:w="57" w:type="dxa"/>
              <w:bottom w:w="57" w:type="dxa"/>
              <w:right w:w="57" w:type="dxa"/>
            </w:tcMar>
            <w:vAlign w:val="center"/>
          </w:tcPr>
          <w:p w14:paraId="4778675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strike/>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33648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1C1D44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（三）完成改制后，未重新取得或者变更</w:t>
            </w:r>
            <w:r>
              <w:rPr>
                <w:rFonts w:hint="eastAsia" w:ascii="黑体" w:hAnsi="黑体" w:eastAsia="黑体" w:cs="黑体"/>
                <w:strike/>
                <w:dstrike w:val="0"/>
                <w:color w:val="0000FF"/>
                <w:spacing w:val="0"/>
                <w:sz w:val="21"/>
                <w:szCs w:val="21"/>
              </w:rPr>
              <w:t>采矿许可证、</w:t>
            </w:r>
            <w:r>
              <w:rPr>
                <w:rFonts w:hint="eastAsia" w:ascii="仿宋_GB2312" w:hAnsi="仿宋_GB2312" w:eastAsia="仿宋_GB2312" w:cs="仿宋_GB2312"/>
                <w:spacing w:val="0"/>
                <w:sz w:val="21"/>
                <w:szCs w:val="21"/>
              </w:rPr>
              <w:t>安全生产许可证</w:t>
            </w:r>
            <w:r>
              <w:rPr>
                <w:rFonts w:hint="eastAsia" w:ascii="黑体" w:hAnsi="黑体" w:eastAsia="黑体" w:cs="黑体"/>
                <w:strike/>
                <w:dstrike w:val="0"/>
                <w:color w:val="0000FF"/>
                <w:spacing w:val="0"/>
                <w:sz w:val="21"/>
                <w:szCs w:val="21"/>
              </w:rPr>
              <w:t>、营业执照</w:t>
            </w:r>
            <w:r>
              <w:rPr>
                <w:rFonts w:hint="eastAsia" w:ascii="仿宋_GB2312" w:hAnsi="仿宋_GB2312" w:eastAsia="仿宋_GB2312" w:cs="仿宋_GB2312"/>
                <w:spacing w:val="0"/>
                <w:sz w:val="21"/>
                <w:szCs w:val="21"/>
              </w:rPr>
              <w:t>而进行生产建设的。</w:t>
            </w:r>
          </w:p>
        </w:tc>
        <w:tc>
          <w:tcPr>
            <w:tcW w:w="4501" w:type="dxa"/>
            <w:tcMar>
              <w:top w:w="57" w:type="dxa"/>
              <w:left w:w="57" w:type="dxa"/>
              <w:bottom w:w="57" w:type="dxa"/>
              <w:right w:w="57" w:type="dxa"/>
            </w:tcMar>
            <w:vAlign w:val="top"/>
          </w:tcPr>
          <w:p w14:paraId="2483B5A5">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right="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完成改制</w:t>
            </w:r>
            <w:r>
              <w:rPr>
                <w:rFonts w:hint="eastAsia" w:ascii="黑体" w:hAnsi="黑体" w:eastAsia="黑体" w:cs="黑体"/>
                <w:b w:val="0"/>
                <w:bCs/>
                <w:color w:val="FF0000"/>
                <w:spacing w:val="0"/>
                <w:sz w:val="21"/>
                <w:szCs w:val="21"/>
              </w:rPr>
              <w:t>、合并、分立</w:t>
            </w:r>
            <w:r>
              <w:rPr>
                <w:rFonts w:hint="eastAsia" w:ascii="仿宋_GB2312" w:hAnsi="仿宋_GB2312" w:eastAsia="仿宋_GB2312" w:cs="仿宋_GB2312"/>
                <w:spacing w:val="0"/>
                <w:sz w:val="21"/>
                <w:szCs w:val="21"/>
              </w:rPr>
              <w:t>后,未重新取得或者</w:t>
            </w:r>
            <w:r>
              <w:rPr>
                <w:rFonts w:hint="eastAsia" w:ascii="黑体" w:hAnsi="黑体" w:eastAsia="黑体" w:cs="黑体"/>
                <w:b w:val="0"/>
                <w:bCs/>
                <w:color w:val="FF0000"/>
                <w:spacing w:val="0"/>
                <w:sz w:val="21"/>
                <w:szCs w:val="21"/>
              </w:rPr>
              <w:t>按照规定时间</w:t>
            </w:r>
            <w:r>
              <w:rPr>
                <w:rFonts w:hint="eastAsia" w:ascii="仿宋_GB2312" w:hAnsi="仿宋_GB2312" w:eastAsia="仿宋_GB2312" w:cs="仿宋_GB2312"/>
                <w:spacing w:val="0"/>
                <w:sz w:val="21"/>
                <w:szCs w:val="21"/>
              </w:rPr>
              <w:t>变更安全生产许可证进行生产建设</w:t>
            </w:r>
            <w:r>
              <w:rPr>
                <w:rFonts w:hint="eastAsia" w:ascii="仿宋_GB2312" w:hAnsi="仿宋_GB2312" w:eastAsia="仿宋_GB2312" w:cs="仿宋_GB2312"/>
                <w:spacing w:val="0"/>
                <w:sz w:val="21"/>
                <w:szCs w:val="21"/>
                <w:lang w:eastAsia="zh-CN"/>
              </w:rPr>
              <w:t>。</w:t>
            </w:r>
          </w:p>
        </w:tc>
      </w:tr>
      <w:tr w14:paraId="515BA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9002" w:type="dxa"/>
            <w:gridSpan w:val="2"/>
            <w:tcMar>
              <w:top w:w="57" w:type="dxa"/>
              <w:left w:w="57" w:type="dxa"/>
              <w:bottom w:w="57" w:type="dxa"/>
              <w:right w:w="57" w:type="dxa"/>
            </w:tcMar>
            <w:vAlign w:val="center"/>
          </w:tcPr>
          <w:p w14:paraId="09277DF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val="0"/>
                <w:bCs/>
                <w:spacing w:val="0"/>
                <w:sz w:val="21"/>
                <w:szCs w:val="21"/>
                <w:lang w:val="en-US" w:eastAsia="zh-CN"/>
              </w:rPr>
            </w:pPr>
            <w:r>
              <w:rPr>
                <w:rFonts w:hint="eastAsia" w:ascii="黑体" w:hAnsi="黑体" w:eastAsia="黑体" w:cs="黑体"/>
                <w:b w:val="0"/>
                <w:bCs/>
                <w:spacing w:val="0"/>
                <w:sz w:val="21"/>
                <w:szCs w:val="21"/>
                <w:lang w:val="en-US" w:eastAsia="zh-CN"/>
              </w:rPr>
              <w:t>第二十</w:t>
            </w:r>
            <w:r>
              <w:rPr>
                <w:rFonts w:hint="eastAsia" w:ascii="黑体" w:hAnsi="黑体" w:eastAsia="黑体" w:cs="黑体"/>
                <w:b w:val="0"/>
                <w:bCs/>
                <w:spacing w:val="0"/>
                <w:sz w:val="21"/>
                <w:szCs w:val="21"/>
              </w:rPr>
              <w:t>条</w:t>
            </w:r>
            <w:r>
              <w:rPr>
                <w:rFonts w:hint="eastAsia" w:ascii="黑体" w:hAnsi="黑体" w:eastAsia="黑体" w:cs="黑体"/>
                <w:b w:val="0"/>
                <w:bCs/>
                <w:spacing w:val="0"/>
                <w:sz w:val="21"/>
                <w:szCs w:val="21"/>
                <w:lang w:val="en-US" w:eastAsia="zh-CN"/>
              </w:rPr>
              <w:t xml:space="preserve"> </w:t>
            </w:r>
            <w:r>
              <w:rPr>
                <w:rFonts w:hint="eastAsia" w:ascii="黑体" w:hAnsi="黑体" w:eastAsia="黑体" w:cs="黑体"/>
                <w:b w:val="0"/>
                <w:bCs/>
                <w:spacing w:val="0"/>
                <w:sz w:val="21"/>
                <w:szCs w:val="21"/>
              </w:rPr>
              <w:t>“其他重大事故隐患”,是指有下列情形之一的:</w:t>
            </w:r>
          </w:p>
        </w:tc>
      </w:tr>
      <w:tr w14:paraId="68AE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78AAE25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610D05C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一</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露天煤矿将剥离工程发包给个人或者2家以上单位,或者承包方转包、分包剥离工程</w:t>
            </w:r>
            <w:r>
              <w:rPr>
                <w:rFonts w:hint="eastAsia" w:ascii="黑体" w:hAnsi="黑体" w:eastAsia="黑体" w:cs="黑体"/>
                <w:b w:val="0"/>
                <w:bCs/>
                <w:color w:val="FF0000"/>
                <w:spacing w:val="0"/>
                <w:sz w:val="21"/>
                <w:szCs w:val="21"/>
                <w:lang w:eastAsia="zh-CN"/>
              </w:rPr>
              <w:t>。</w:t>
            </w:r>
          </w:p>
        </w:tc>
      </w:tr>
      <w:tr w14:paraId="12B7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F217F7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5AA80F5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二</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露天煤矿未对剥离工程承包方的安全生产工作统一协调、管理</w:t>
            </w:r>
            <w:r>
              <w:rPr>
                <w:rFonts w:hint="eastAsia" w:ascii="黑体" w:hAnsi="黑体" w:eastAsia="黑体" w:cs="黑体"/>
                <w:b w:val="0"/>
                <w:bCs/>
                <w:color w:val="FF0000"/>
                <w:spacing w:val="0"/>
                <w:sz w:val="21"/>
                <w:szCs w:val="21"/>
                <w:lang w:eastAsia="zh-CN"/>
              </w:rPr>
              <w:t>。</w:t>
            </w:r>
          </w:p>
        </w:tc>
      </w:tr>
      <w:tr w14:paraId="5C017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8F0C56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（一）未分别配备专职的矿长、总工程师和分管安全、生产、机电的副矿长，以及负责采煤、掘进、机电运输、通风、地测、防治水工作的专业技术人员的；</w:t>
            </w:r>
          </w:p>
        </w:tc>
        <w:tc>
          <w:tcPr>
            <w:tcW w:w="4501" w:type="dxa"/>
            <w:tcMar>
              <w:top w:w="57" w:type="dxa"/>
              <w:left w:w="57" w:type="dxa"/>
              <w:bottom w:w="57" w:type="dxa"/>
              <w:right w:w="57" w:type="dxa"/>
            </w:tcMar>
            <w:vAlign w:val="center"/>
          </w:tcPr>
          <w:p w14:paraId="4FCA7F5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0F0AB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02D63A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strike/>
                <w:dstrike w:val="0"/>
                <w:color w:val="0000FF"/>
                <w:spacing w:val="0"/>
                <w:sz w:val="21"/>
                <w:szCs w:val="21"/>
              </w:rPr>
              <w:t>（二）未按照国家规定足额提取或者未按照国家规定范围使用安全生产费用的；</w:t>
            </w:r>
          </w:p>
        </w:tc>
        <w:tc>
          <w:tcPr>
            <w:tcW w:w="4501" w:type="dxa"/>
            <w:tcMar>
              <w:top w:w="57" w:type="dxa"/>
              <w:left w:w="57" w:type="dxa"/>
              <w:bottom w:w="57" w:type="dxa"/>
              <w:right w:w="57" w:type="dxa"/>
            </w:tcMar>
            <w:vAlign w:val="center"/>
          </w:tcPr>
          <w:p w14:paraId="6FF4179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trike w:val="0"/>
                <w:dstrike w:val="0"/>
                <w:color w:val="0000FF"/>
                <w:spacing w:val="0"/>
                <w:sz w:val="21"/>
                <w:szCs w:val="21"/>
                <w:lang w:val="en-US" w:eastAsia="zh-CN"/>
              </w:rPr>
            </w:pPr>
            <w:r>
              <w:rPr>
                <w:rFonts w:hint="eastAsia" w:ascii="黑体" w:hAnsi="黑体" w:eastAsia="黑体" w:cs="黑体"/>
                <w:strike w:val="0"/>
                <w:dstrike w:val="0"/>
                <w:color w:val="0000FF"/>
                <w:spacing w:val="0"/>
                <w:sz w:val="21"/>
                <w:szCs w:val="21"/>
                <w:lang w:val="en-US" w:eastAsia="zh-CN"/>
              </w:rPr>
              <w:t>删  除</w:t>
            </w:r>
          </w:p>
        </w:tc>
      </w:tr>
      <w:tr w14:paraId="0DC5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6668740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4D8AC3E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三</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有人作业的采掘工作面</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工作面进风巷除外</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及特殊作业</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停工</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停风</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地点恢复施工、巷道贯通、爆破作业、动火作业、启封密闭墙、封闭火区</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地点瓦斯检查存在漏检、假检情况</w:t>
            </w:r>
            <w:r>
              <w:rPr>
                <w:rFonts w:hint="eastAsia" w:ascii="黑体" w:hAnsi="黑体" w:eastAsia="黑体" w:cs="黑体"/>
                <w:b w:val="0"/>
                <w:bCs/>
                <w:color w:val="FF0000"/>
                <w:spacing w:val="0"/>
                <w:sz w:val="21"/>
                <w:szCs w:val="21"/>
                <w:lang w:eastAsia="zh-CN"/>
              </w:rPr>
              <w:t>。</w:t>
            </w:r>
          </w:p>
        </w:tc>
      </w:tr>
      <w:tr w14:paraId="2E09B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2F1135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rPr>
              <w:t>（三）</w:t>
            </w:r>
            <w:r>
              <w:rPr>
                <w:rFonts w:hint="eastAsia" w:ascii="黑体" w:hAnsi="黑体" w:eastAsia="黑体" w:cs="黑体"/>
                <w:b/>
                <w:bCs/>
                <w:color w:val="009C46"/>
                <w:spacing w:val="0"/>
                <w:sz w:val="21"/>
                <w:szCs w:val="21"/>
              </w:rPr>
              <w:t>未按照国家规定进行瓦斯等级鉴定</w:t>
            </w:r>
            <w:r>
              <w:rPr>
                <w:rFonts w:hint="eastAsia" w:ascii="仿宋_GB2312" w:hAnsi="仿宋_GB2312" w:eastAsia="仿宋_GB2312" w:cs="仿宋_GB2312"/>
                <w:spacing w:val="0"/>
                <w:sz w:val="21"/>
                <w:szCs w:val="21"/>
              </w:rPr>
              <w:t>，或者瓦斯等级鉴定弄虚作假的；</w:t>
            </w:r>
          </w:p>
        </w:tc>
        <w:tc>
          <w:tcPr>
            <w:tcW w:w="4501" w:type="dxa"/>
            <w:tcMar>
              <w:top w:w="57" w:type="dxa"/>
              <w:left w:w="57" w:type="dxa"/>
              <w:bottom w:w="57" w:type="dxa"/>
              <w:right w:w="57" w:type="dxa"/>
            </w:tcMar>
            <w:vAlign w:val="top"/>
          </w:tcPr>
          <w:p w14:paraId="1AAC8B7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w:t>
            </w:r>
            <w:r>
              <w:rPr>
                <w:rFonts w:hint="eastAsia" w:ascii="黑体" w:hAnsi="黑体" w:eastAsia="黑体" w:cs="黑体"/>
                <w:b/>
                <w:bCs/>
                <w:color w:val="009C46"/>
                <w:spacing w:val="0"/>
                <w:sz w:val="21"/>
                <w:szCs w:val="21"/>
              </w:rPr>
              <w:t>瓦斯等级鉴定存在下列情形之一的</w:t>
            </w:r>
            <w:r>
              <w:rPr>
                <w:rFonts w:hint="eastAsia" w:ascii="仿宋_GB2312" w:hAnsi="仿宋_GB2312" w:eastAsia="仿宋_GB2312" w:cs="仿宋_GB2312"/>
                <w:spacing w:val="0"/>
                <w:sz w:val="21"/>
                <w:szCs w:val="21"/>
              </w:rPr>
              <w:t>:</w:t>
            </w:r>
          </w:p>
          <w:p w14:paraId="4CCFE5AE">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1.低瓦斯矿井未每2年进行瓦斯等级鉴定。</w:t>
            </w:r>
          </w:p>
          <w:p w14:paraId="1144946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2.高瓦斯、煤（岩）与瓦斯（二氧化碳）突出矿井未每年测定和计算矿井、采区、工作面瓦斯涌出量。</w:t>
            </w:r>
          </w:p>
          <w:p w14:paraId="158166B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黑体" w:hAnsi="黑体" w:eastAsia="黑体" w:cs="黑体"/>
                <w:b w:val="0"/>
                <w:bCs/>
                <w:color w:val="FF0000"/>
                <w:spacing w:val="0"/>
                <w:sz w:val="21"/>
                <w:szCs w:val="21"/>
              </w:rPr>
            </w:pPr>
            <w:r>
              <w:rPr>
                <w:rFonts w:hint="eastAsia" w:ascii="黑体" w:hAnsi="黑体" w:eastAsia="黑体" w:cs="黑体"/>
                <w:b w:val="0"/>
                <w:bCs/>
                <w:color w:val="FF0000"/>
                <w:spacing w:val="0"/>
                <w:sz w:val="21"/>
                <w:szCs w:val="21"/>
              </w:rPr>
              <w:t>3.煤层突出危险性鉴定为非突出煤层的,井巷揭煤作业、煤巷施工超出鉴定范围、开拓新水平或者采深增加超过50m时,未测定瓦斯压力、瓦斯含量。</w:t>
            </w:r>
          </w:p>
          <w:p w14:paraId="39E5265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b w:val="0"/>
                <w:bCs/>
                <w:color w:val="FF0000"/>
                <w:spacing w:val="0"/>
                <w:sz w:val="21"/>
                <w:szCs w:val="21"/>
              </w:rPr>
              <w:t>4.未按照《煤矿安全规程》规定开展煤（岩）与瓦斯（二氧化碳）突出鉴定</w:t>
            </w:r>
            <w:r>
              <w:rPr>
                <w:rFonts w:hint="eastAsia" w:ascii="仿宋_GB2312" w:hAnsi="仿宋_GB2312" w:eastAsia="仿宋_GB2312" w:cs="仿宋_GB2312"/>
                <w:spacing w:val="0"/>
                <w:sz w:val="21"/>
                <w:szCs w:val="21"/>
              </w:rPr>
              <w:t>,或者瓦斯等级鉴定弄虚作假。</w:t>
            </w:r>
          </w:p>
        </w:tc>
      </w:tr>
      <w:tr w14:paraId="7F1A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0E9ED78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（四）出现瓦斯动力现象</w:t>
            </w:r>
            <w:r>
              <w:rPr>
                <w:rFonts w:hint="eastAsia" w:ascii="黑体" w:hAnsi="黑体" w:eastAsia="黑体" w:cs="黑体"/>
                <w:strike/>
                <w:dstrike w:val="0"/>
                <w:color w:val="0000FF"/>
                <w:spacing w:val="0"/>
                <w:sz w:val="21"/>
                <w:szCs w:val="21"/>
              </w:rPr>
              <w:t>，或者</w:t>
            </w:r>
            <w:r>
              <w:rPr>
                <w:rFonts w:hint="eastAsia" w:ascii="仿宋_GB2312" w:hAnsi="仿宋_GB2312" w:eastAsia="仿宋_GB2312" w:cs="仿宋_GB2312"/>
                <w:spacing w:val="0"/>
                <w:sz w:val="21"/>
                <w:szCs w:val="21"/>
              </w:rPr>
              <w:t>相邻矿井开采的同一煤层发生了突出</w:t>
            </w:r>
            <w:r>
              <w:rPr>
                <w:rFonts w:hint="eastAsia" w:ascii="黑体" w:hAnsi="黑体" w:eastAsia="黑体" w:cs="黑体"/>
                <w:strike/>
                <w:dstrike w:val="0"/>
                <w:color w:val="0000FF"/>
                <w:spacing w:val="0"/>
                <w:sz w:val="21"/>
                <w:szCs w:val="21"/>
              </w:rPr>
              <w:t>事故</w:t>
            </w:r>
            <w:r>
              <w:rPr>
                <w:rFonts w:hint="eastAsia" w:ascii="仿宋_GB2312" w:hAnsi="仿宋_GB2312" w:eastAsia="仿宋_GB2312" w:cs="仿宋_GB2312"/>
                <w:spacing w:val="0"/>
                <w:sz w:val="21"/>
                <w:szCs w:val="21"/>
              </w:rPr>
              <w:t>，或者被鉴定、认定为突出煤层，以及煤层瓦斯压力达到</w:t>
            </w:r>
            <w:r>
              <w:rPr>
                <w:rFonts w:hint="eastAsia" w:ascii="黑体" w:hAnsi="黑体" w:eastAsia="黑体" w:cs="黑体"/>
                <w:strike/>
                <w:dstrike w:val="0"/>
                <w:color w:val="0000FF"/>
                <w:spacing w:val="0"/>
                <w:sz w:val="21"/>
                <w:szCs w:val="21"/>
              </w:rPr>
              <w:t>或者超过</w:t>
            </w:r>
            <w:r>
              <w:rPr>
                <w:rFonts w:hint="eastAsia" w:ascii="仿宋_GB2312" w:hAnsi="仿宋_GB2312" w:eastAsia="仿宋_GB2312" w:cs="仿宋_GB2312"/>
                <w:spacing w:val="0"/>
                <w:sz w:val="21"/>
                <w:szCs w:val="21"/>
              </w:rPr>
              <w:t>0.74MPa的非突出矿井，未</w:t>
            </w:r>
            <w:r>
              <w:rPr>
                <w:rFonts w:hint="eastAsia" w:ascii="黑体" w:hAnsi="黑体" w:eastAsia="黑体" w:cs="黑体"/>
                <w:strike/>
                <w:dstrike w:val="0"/>
                <w:color w:val="0000FF"/>
                <w:spacing w:val="0"/>
                <w:sz w:val="21"/>
                <w:szCs w:val="21"/>
              </w:rPr>
              <w:t>立即</w:t>
            </w:r>
            <w:r>
              <w:rPr>
                <w:rFonts w:hint="eastAsia" w:ascii="仿宋_GB2312" w:hAnsi="仿宋_GB2312" w:eastAsia="仿宋_GB2312" w:cs="仿宋_GB2312"/>
                <w:spacing w:val="0"/>
                <w:sz w:val="21"/>
                <w:szCs w:val="21"/>
              </w:rPr>
              <w:t>按照突出煤层管理</w:t>
            </w:r>
            <w:r>
              <w:rPr>
                <w:rFonts w:hint="eastAsia" w:ascii="黑体" w:hAnsi="黑体" w:eastAsia="黑体" w:cs="黑体"/>
                <w:b/>
                <w:bCs/>
                <w:color w:val="009C46"/>
                <w:spacing w:val="0"/>
                <w:sz w:val="21"/>
                <w:szCs w:val="21"/>
              </w:rPr>
              <w:t>并在国家规定期限内进行</w:t>
            </w:r>
            <w:r>
              <w:rPr>
                <w:rFonts w:hint="eastAsia" w:ascii="仿宋_GB2312" w:hAnsi="仿宋_GB2312" w:eastAsia="仿宋_GB2312" w:cs="仿宋_GB2312"/>
                <w:spacing w:val="0"/>
                <w:sz w:val="21"/>
                <w:szCs w:val="21"/>
              </w:rPr>
              <w:t>突出危险性鉴定的（直接认定为突出矿井的除外）；</w:t>
            </w:r>
          </w:p>
          <w:p w14:paraId="2D5D4577">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*明确煤层突出危险性鉴定的期限为“6个月”</w:t>
            </w:r>
          </w:p>
        </w:tc>
        <w:tc>
          <w:tcPr>
            <w:tcW w:w="4501" w:type="dxa"/>
            <w:tcMar>
              <w:top w:w="57" w:type="dxa"/>
              <w:left w:w="57" w:type="dxa"/>
              <w:bottom w:w="57" w:type="dxa"/>
              <w:right w:w="57" w:type="dxa"/>
            </w:tcMar>
            <w:vAlign w:val="top"/>
          </w:tcPr>
          <w:p w14:paraId="1FFDA24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w:t>
            </w:r>
            <w:r>
              <w:rPr>
                <w:rFonts w:hint="eastAsia" w:ascii="黑体" w:hAnsi="黑体" w:eastAsia="黑体" w:cs="黑体"/>
                <w:b w:val="0"/>
                <w:bCs/>
                <w:color w:val="FF0000"/>
                <w:spacing w:val="0"/>
                <w:sz w:val="21"/>
                <w:szCs w:val="21"/>
              </w:rPr>
              <w:t>非突出煤层出现下列情形之一,</w:t>
            </w:r>
            <w:r>
              <w:rPr>
                <w:rFonts w:hint="eastAsia" w:ascii="黑体" w:hAnsi="黑体" w:eastAsia="黑体" w:cs="黑体"/>
                <w:b/>
                <w:bCs/>
                <w:color w:val="009C46"/>
                <w:spacing w:val="0"/>
                <w:sz w:val="21"/>
                <w:szCs w:val="21"/>
              </w:rPr>
              <w:t>未在6个月内完成</w:t>
            </w:r>
            <w:r>
              <w:rPr>
                <w:rFonts w:hint="eastAsia" w:ascii="仿宋_GB2312" w:hAnsi="仿宋_GB2312" w:eastAsia="仿宋_GB2312" w:cs="仿宋_GB2312"/>
                <w:spacing w:val="0"/>
                <w:sz w:val="21"/>
                <w:szCs w:val="21"/>
              </w:rPr>
              <w:t>煤层突出危险性鉴定（直接认定为突出煤层的除外）,</w:t>
            </w:r>
            <w:r>
              <w:rPr>
                <w:rFonts w:hint="eastAsia" w:ascii="黑体" w:hAnsi="黑体" w:eastAsia="黑体" w:cs="黑体"/>
                <w:b w:val="0"/>
                <w:bCs/>
                <w:color w:val="FF0000"/>
                <w:spacing w:val="0"/>
                <w:sz w:val="21"/>
                <w:szCs w:val="21"/>
              </w:rPr>
              <w:t>或者鉴定、直接认定前,</w:t>
            </w:r>
            <w:r>
              <w:rPr>
                <w:rFonts w:hint="eastAsia" w:ascii="仿宋_GB2312" w:hAnsi="仿宋_GB2312" w:eastAsia="仿宋_GB2312" w:cs="仿宋_GB2312"/>
                <w:spacing w:val="0"/>
                <w:sz w:val="21"/>
                <w:szCs w:val="21"/>
              </w:rPr>
              <w:t>未按照突出煤层管理的:</w:t>
            </w:r>
          </w:p>
          <w:p w14:paraId="113A75E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1.有瓦斯动力现象。</w:t>
            </w:r>
          </w:p>
          <w:p w14:paraId="7040B2A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2.瓦斯压力达到0.74MPa以上。</w:t>
            </w:r>
          </w:p>
          <w:p w14:paraId="09FE529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3.相邻矿井开采的同一煤层发生突出或者被鉴定、认定为突出煤层。</w:t>
            </w:r>
          </w:p>
        </w:tc>
      </w:tr>
      <w:tr w14:paraId="40F8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7FABF22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both"/>
              <w:textAlignment w:val="auto"/>
              <w:rPr>
                <w:rFonts w:hint="eastAsia" w:ascii="仿宋_GB2312" w:hAnsi="仿宋_GB2312" w:eastAsia="仿宋_GB2312" w:cs="仿宋_GB2312"/>
                <w:spacing w:val="0"/>
                <w:sz w:val="21"/>
                <w:szCs w:val="21"/>
                <w:lang w:val="en-US" w:eastAsia="zh-CN" w:bidi="zh-CN"/>
              </w:rPr>
            </w:pPr>
            <w:r>
              <w:rPr>
                <w:rFonts w:hint="eastAsia" w:ascii="仿宋_GB2312" w:hAnsi="仿宋_GB2312" w:eastAsia="仿宋_GB2312" w:cs="仿宋_GB2312"/>
                <w:spacing w:val="0"/>
                <w:sz w:val="21"/>
                <w:szCs w:val="21"/>
              </w:rPr>
              <w:t>（五）</w:t>
            </w:r>
            <w:r>
              <w:rPr>
                <w:rFonts w:hint="eastAsia" w:ascii="黑体" w:hAnsi="黑体" w:eastAsia="黑体" w:cs="黑体"/>
                <w:strike/>
                <w:dstrike w:val="0"/>
                <w:color w:val="0000FF"/>
                <w:spacing w:val="0"/>
                <w:sz w:val="21"/>
                <w:szCs w:val="21"/>
              </w:rPr>
              <w:t>图纸作假、</w:t>
            </w:r>
            <w:r>
              <w:rPr>
                <w:rFonts w:hint="eastAsia" w:ascii="仿宋_GB2312" w:hAnsi="仿宋_GB2312" w:eastAsia="仿宋_GB2312" w:cs="仿宋_GB2312"/>
                <w:spacing w:val="0"/>
                <w:sz w:val="21"/>
                <w:szCs w:val="21"/>
              </w:rPr>
              <w:t>隐瞒采掘工作面</w:t>
            </w:r>
            <w:r>
              <w:rPr>
                <w:rFonts w:hint="eastAsia" w:ascii="黑体" w:hAnsi="黑体" w:eastAsia="黑体" w:cs="黑体"/>
                <w:strike/>
                <w:dstrike w:val="0"/>
                <w:color w:val="0000FF"/>
                <w:spacing w:val="0"/>
                <w:sz w:val="21"/>
                <w:szCs w:val="21"/>
              </w:rPr>
              <w:t>，提供虚假信息、</w:t>
            </w:r>
            <w:r>
              <w:rPr>
                <w:rFonts w:hint="eastAsia" w:ascii="仿宋_GB2312" w:hAnsi="仿宋_GB2312" w:eastAsia="仿宋_GB2312" w:cs="仿宋_GB2312"/>
                <w:spacing w:val="0"/>
                <w:sz w:val="21"/>
                <w:szCs w:val="21"/>
              </w:rPr>
              <w:t>隐瞒下井人数</w:t>
            </w:r>
            <w:r>
              <w:rPr>
                <w:rFonts w:hint="eastAsia" w:ascii="黑体" w:hAnsi="黑体" w:eastAsia="黑体" w:cs="黑体"/>
                <w:strike/>
                <w:dstrike w:val="0"/>
                <w:color w:val="0000FF"/>
                <w:spacing w:val="0"/>
                <w:sz w:val="21"/>
                <w:szCs w:val="21"/>
              </w:rPr>
              <w:t>，或者矿长、总工程师（技术负责人）履行安全生产岗位责任制及管理制度时伪造记录，弄虚作假的</w:t>
            </w:r>
            <w:r>
              <w:rPr>
                <w:rFonts w:hint="eastAsia" w:ascii="仿宋_GB2312" w:hAnsi="仿宋_GB2312" w:eastAsia="仿宋_GB2312" w:cs="仿宋_GB2312"/>
                <w:spacing w:val="0"/>
                <w:sz w:val="21"/>
                <w:szCs w:val="21"/>
              </w:rPr>
              <w:t>；</w:t>
            </w:r>
          </w:p>
        </w:tc>
        <w:tc>
          <w:tcPr>
            <w:tcW w:w="4501" w:type="dxa"/>
            <w:tcMar>
              <w:top w:w="57" w:type="dxa"/>
              <w:left w:w="57" w:type="dxa"/>
              <w:bottom w:w="57" w:type="dxa"/>
              <w:right w:w="57" w:type="dxa"/>
            </w:tcMar>
            <w:vAlign w:val="top"/>
          </w:tcPr>
          <w:p w14:paraId="52C5341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六</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隐瞒采掘工作面或者下井人数</w:t>
            </w:r>
            <w:r>
              <w:rPr>
                <w:rFonts w:hint="eastAsia" w:ascii="仿宋_GB2312" w:hAnsi="仿宋_GB2312" w:eastAsia="仿宋_GB2312" w:cs="仿宋_GB2312"/>
                <w:spacing w:val="0"/>
                <w:sz w:val="21"/>
                <w:szCs w:val="21"/>
                <w:lang w:eastAsia="zh-CN"/>
              </w:rPr>
              <w:t>。</w:t>
            </w:r>
          </w:p>
        </w:tc>
      </w:tr>
      <w:tr w14:paraId="10E9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7B75F540">
            <w:pPr>
              <w:pStyle w:val="11"/>
              <w:keepNext w:val="0"/>
              <w:keepLines w:val="0"/>
              <w:pageBreakBefore w:val="0"/>
              <w:widowControl w:val="0"/>
              <w:kinsoku/>
              <w:wordWrap/>
              <w:overflowPunct/>
              <w:topLinePunct w:val="0"/>
              <w:autoSpaceDE w:val="0"/>
              <w:autoSpaceDN w:val="0"/>
              <w:bidi w:val="0"/>
              <w:adjustRightInd/>
              <w:snapToGrid/>
              <w:spacing w:before="0" w:line="26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（六）矿井未安装安全监控系统、人员位置监测系统或者系统不能正常运行，以及对系统数据进行修改、</w:t>
            </w:r>
            <w:r>
              <w:rPr>
                <w:rFonts w:hint="eastAsia" w:ascii="黑体" w:hAnsi="黑体" w:eastAsia="黑体" w:cs="黑体"/>
                <w:color w:val="808080" w:themeColor="text1" w:themeTint="80"/>
                <w:spacing w:val="0"/>
                <w:sz w:val="18"/>
                <w:szCs w:val="18"/>
                <w:lang w:eastAsia="zh-CN"/>
                <w14:textFill>
                  <w14:solidFill>
                    <w14:schemeClr w14:val="tx1">
                      <w14:lumMod w14:val="50000"/>
                      <w14:lumOff w14:val="50000"/>
                    </w14:schemeClr>
                  </w14:solidFill>
                </w14:textFill>
              </w:rPr>
              <w:t>删  除</w:t>
            </w: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及屏蔽，或者煤与瓦斯突出矿井存在第七条第二项情形的；</w:t>
            </w:r>
          </w:p>
        </w:tc>
        <w:tc>
          <w:tcPr>
            <w:tcW w:w="4501" w:type="dxa"/>
            <w:tcMar>
              <w:top w:w="57" w:type="dxa"/>
              <w:left w:w="57" w:type="dxa"/>
              <w:bottom w:w="57" w:type="dxa"/>
              <w:right w:w="57" w:type="dxa"/>
            </w:tcMar>
            <w:vAlign w:val="center"/>
          </w:tcPr>
          <w:p w14:paraId="3E134E9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调整至第十四条第（一）（二）款</w:t>
            </w:r>
          </w:p>
        </w:tc>
      </w:tr>
      <w:tr w14:paraId="0F942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215E3A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（七）</w:t>
            </w:r>
            <w:r>
              <w:rPr>
                <w:rFonts w:hint="eastAsia" w:ascii="黑体" w:hAnsi="黑体" w:eastAsia="黑体" w:cs="黑体"/>
                <w:b/>
                <w:bCs/>
                <w:color w:val="009C46"/>
                <w:spacing w:val="0"/>
                <w:sz w:val="21"/>
                <w:szCs w:val="21"/>
              </w:rPr>
              <w:t>提升（运送）</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人员的</w:t>
            </w:r>
            <w:r>
              <w:rPr>
                <w:rFonts w:hint="eastAsia" w:ascii="黑体" w:hAnsi="黑体" w:eastAsia="黑体" w:cs="黑体"/>
                <w:b/>
                <w:bCs/>
                <w:color w:val="009C46"/>
                <w:spacing w:val="0"/>
                <w:sz w:val="21"/>
                <w:szCs w:val="21"/>
              </w:rPr>
              <w:t>提升机</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未按</w:t>
            </w:r>
            <w:r>
              <w:rPr>
                <w:rFonts w:hint="eastAsia" w:ascii="黑体" w:hAnsi="黑体" w:eastAsia="黑体" w:cs="黑体"/>
                <w:strike/>
                <w:dstrike w:val="0"/>
                <w:color w:val="0000FF"/>
                <w:spacing w:val="0"/>
                <w:sz w:val="21"/>
                <w:szCs w:val="21"/>
              </w:rPr>
              <w:t>照《煤矿安全规程》</w:t>
            </w:r>
            <w:r>
              <w:rPr>
                <w:rFonts w:hint="eastAsia" w:ascii="仿宋_GB2312" w:hAnsi="仿宋_GB2312" w:eastAsia="仿宋_GB2312" w:cs="仿宋_GB2312"/>
                <w:spacing w:val="0"/>
                <w:sz w:val="21"/>
                <w:szCs w:val="21"/>
              </w:rPr>
              <w:t>规定安装</w:t>
            </w:r>
            <w:r>
              <w:rPr>
                <w:rFonts w:hint="eastAsia" w:ascii="黑体" w:hAnsi="黑体" w:eastAsia="黑体" w:cs="黑体"/>
                <w:b/>
                <w:bCs/>
                <w:color w:val="009C46"/>
                <w:spacing w:val="0"/>
                <w:sz w:val="21"/>
                <w:szCs w:val="21"/>
              </w:rPr>
              <w:t>保护装置</w:t>
            </w:r>
            <w:r>
              <w:rPr>
                <w:rFonts w:hint="eastAsia" w:ascii="黑体" w:hAnsi="黑体" w:eastAsia="黑体" w:cs="黑体"/>
                <w:b/>
                <w:bCs/>
                <w:color w:val="009C46"/>
                <w:spacing w:val="0"/>
                <w:sz w:val="21"/>
                <w:szCs w:val="21"/>
                <w:vertAlign w:val="superscript"/>
                <w:lang w:val="en-US" w:eastAsia="zh-CN"/>
              </w:rPr>
              <w:t>③</w:t>
            </w:r>
            <w:r>
              <w:rPr>
                <w:rFonts w:hint="eastAsia" w:ascii="仿宋_GB2312" w:hAnsi="仿宋_GB2312" w:eastAsia="仿宋_GB2312" w:cs="仿宋_GB2312"/>
                <w:spacing w:val="0"/>
                <w:sz w:val="21"/>
                <w:szCs w:val="21"/>
              </w:rPr>
              <w:t>，或者保护</w:t>
            </w:r>
            <w:r>
              <w:rPr>
                <w:rFonts w:hint="eastAsia" w:ascii="黑体" w:hAnsi="黑体" w:eastAsia="黑体" w:cs="黑体"/>
                <w:strike/>
                <w:dstrike w:val="0"/>
                <w:color w:val="0000FF"/>
                <w:spacing w:val="0"/>
                <w:sz w:val="21"/>
                <w:szCs w:val="21"/>
              </w:rPr>
              <w:t>装置</w:t>
            </w:r>
            <w:r>
              <w:rPr>
                <w:rFonts w:hint="eastAsia" w:ascii="仿宋_GB2312" w:hAnsi="仿宋_GB2312" w:eastAsia="仿宋_GB2312" w:cs="仿宋_GB2312"/>
                <w:spacing w:val="0"/>
                <w:sz w:val="21"/>
                <w:szCs w:val="21"/>
              </w:rPr>
              <w:t>失效</w:t>
            </w:r>
            <w:r>
              <w:rPr>
                <w:rFonts w:hint="eastAsia" w:ascii="黑体" w:hAnsi="黑体" w:eastAsia="黑体" w:cs="黑体"/>
                <w:strike/>
                <w:dstrike w:val="0"/>
                <w:color w:val="0000FF"/>
                <w:spacing w:val="0"/>
                <w:sz w:val="21"/>
                <w:szCs w:val="21"/>
              </w:rPr>
              <w:t>，或者超员</w:t>
            </w:r>
            <w:r>
              <w:rPr>
                <w:rFonts w:hint="eastAsia" w:ascii="仿宋_GB2312" w:hAnsi="仿宋_GB2312" w:eastAsia="仿宋_GB2312" w:cs="仿宋_GB2312"/>
                <w:spacing w:val="0"/>
                <w:sz w:val="21"/>
                <w:szCs w:val="21"/>
              </w:rPr>
              <w:t>运行的；</w:t>
            </w:r>
          </w:p>
          <w:p w14:paraId="3D16F2B3">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*列明9种具体保护装置（过卷和过放、超速等）</w:t>
            </w:r>
          </w:p>
        </w:tc>
        <w:tc>
          <w:tcPr>
            <w:tcW w:w="4501" w:type="dxa"/>
            <w:tcMar>
              <w:top w:w="57" w:type="dxa"/>
              <w:left w:w="57" w:type="dxa"/>
              <w:bottom w:w="57" w:type="dxa"/>
              <w:right w:w="57" w:type="dxa"/>
            </w:tcMar>
            <w:vAlign w:val="top"/>
          </w:tcPr>
          <w:p w14:paraId="47883FB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七</w:t>
            </w:r>
            <w:r>
              <w:rPr>
                <w:rFonts w:hint="eastAsia" w:ascii="仿宋_GB2312" w:hAnsi="仿宋_GB2312" w:eastAsia="仿宋_GB2312" w:cs="仿宋_GB2312"/>
                <w:spacing w:val="0"/>
                <w:sz w:val="21"/>
                <w:szCs w:val="21"/>
                <w:lang w:eastAsia="zh-CN"/>
              </w:rPr>
              <w:t>）</w:t>
            </w:r>
            <w:r>
              <w:rPr>
                <w:rFonts w:hint="eastAsia" w:ascii="黑体" w:hAnsi="黑体" w:eastAsia="黑体" w:cs="黑体"/>
                <w:b/>
                <w:bCs/>
                <w:color w:val="009C46"/>
                <w:spacing w:val="0"/>
                <w:sz w:val="21"/>
                <w:szCs w:val="21"/>
              </w:rPr>
              <w:t>立井、倾斜井巷升降</w:t>
            </w:r>
            <w:r>
              <w:rPr>
                <w:rFonts w:hint="eastAsia" w:ascii="黑体" w:hAnsi="黑体" w:eastAsia="黑体" w:cs="黑体"/>
                <w:b/>
                <w:bCs/>
                <w:color w:val="009C46"/>
                <w:spacing w:val="0"/>
                <w:sz w:val="21"/>
                <w:szCs w:val="21"/>
                <w:vertAlign w:val="superscript"/>
                <w:lang w:val="en-US" w:eastAsia="zh-CN"/>
              </w:rPr>
              <w:t>①</w:t>
            </w:r>
            <w:r>
              <w:rPr>
                <w:rFonts w:hint="eastAsia" w:ascii="仿宋_GB2312" w:hAnsi="仿宋_GB2312" w:eastAsia="仿宋_GB2312" w:cs="仿宋_GB2312"/>
                <w:spacing w:val="0"/>
                <w:sz w:val="21"/>
                <w:szCs w:val="21"/>
              </w:rPr>
              <w:t>人员的</w:t>
            </w:r>
            <w:r>
              <w:rPr>
                <w:rFonts w:hint="eastAsia" w:ascii="黑体" w:hAnsi="黑体" w:eastAsia="黑体" w:cs="黑体"/>
                <w:b/>
                <w:bCs/>
                <w:color w:val="009C46"/>
                <w:spacing w:val="0"/>
                <w:sz w:val="21"/>
                <w:szCs w:val="21"/>
              </w:rPr>
              <w:t>提升装置</w:t>
            </w:r>
            <w:r>
              <w:rPr>
                <w:rFonts w:hint="eastAsia" w:ascii="黑体" w:hAnsi="黑体" w:eastAsia="黑体" w:cs="黑体"/>
                <w:b/>
                <w:bCs/>
                <w:color w:val="009C46"/>
                <w:spacing w:val="0"/>
                <w:sz w:val="21"/>
                <w:szCs w:val="21"/>
                <w:vertAlign w:val="superscript"/>
                <w:lang w:val="en-US" w:eastAsia="zh-CN"/>
              </w:rPr>
              <w:t>②</w:t>
            </w:r>
            <w:r>
              <w:rPr>
                <w:rFonts w:hint="eastAsia" w:ascii="仿宋_GB2312" w:hAnsi="仿宋_GB2312" w:eastAsia="仿宋_GB2312" w:cs="仿宋_GB2312"/>
                <w:spacing w:val="0"/>
                <w:sz w:val="21"/>
                <w:szCs w:val="21"/>
              </w:rPr>
              <w:t>未安装</w:t>
            </w:r>
            <w:r>
              <w:rPr>
                <w:rFonts w:hint="eastAsia" w:ascii="黑体" w:hAnsi="黑体" w:eastAsia="黑体" w:cs="黑体"/>
                <w:b/>
                <w:bCs/>
                <w:color w:val="009C46"/>
                <w:spacing w:val="0"/>
                <w:sz w:val="21"/>
                <w:szCs w:val="21"/>
              </w:rPr>
              <w:t>过卷和过放、超速、过负荷和欠电压、限速、提升容器位置指示、闸瓦间隙、松绳、减速功能、错向运行保护</w:t>
            </w:r>
            <w:r>
              <w:rPr>
                <w:rFonts w:hint="eastAsia" w:ascii="黑体" w:hAnsi="黑体" w:eastAsia="黑体" w:cs="黑体"/>
                <w:b/>
                <w:bCs/>
                <w:color w:val="009C46"/>
                <w:spacing w:val="0"/>
                <w:sz w:val="21"/>
                <w:szCs w:val="21"/>
                <w:vertAlign w:val="superscript"/>
                <w:lang w:val="en-US" w:eastAsia="zh-CN"/>
              </w:rPr>
              <w:t>③</w:t>
            </w:r>
            <w:r>
              <w:rPr>
                <w:rFonts w:hint="eastAsia" w:ascii="仿宋_GB2312" w:hAnsi="仿宋_GB2312" w:eastAsia="仿宋_GB2312" w:cs="仿宋_GB2312"/>
                <w:spacing w:val="0"/>
                <w:sz w:val="21"/>
                <w:szCs w:val="21"/>
              </w:rPr>
              <w:t>，或者保护失效后仍然运行的；</w:t>
            </w:r>
          </w:p>
        </w:tc>
      </w:tr>
      <w:tr w14:paraId="1F95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6E43D84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44147E9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八</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架空乘人装置未安装超速、打滑、全程急停、防脱绳、变坡点防掉绳、防反转、越位保护,或者保护失效后仍然运行</w:t>
            </w:r>
            <w:r>
              <w:rPr>
                <w:rFonts w:hint="eastAsia" w:ascii="黑体" w:hAnsi="黑体" w:eastAsia="黑体" w:cs="黑体"/>
                <w:b w:val="0"/>
                <w:bCs/>
                <w:color w:val="FF0000"/>
                <w:spacing w:val="0"/>
                <w:sz w:val="21"/>
                <w:szCs w:val="21"/>
                <w:lang w:eastAsia="zh-CN"/>
              </w:rPr>
              <w:t>。</w:t>
            </w:r>
          </w:p>
        </w:tc>
      </w:tr>
      <w:tr w14:paraId="52A8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restart"/>
            <w:tcMar>
              <w:top w:w="57" w:type="dxa"/>
              <w:left w:w="57" w:type="dxa"/>
              <w:bottom w:w="57" w:type="dxa"/>
              <w:right w:w="57" w:type="dxa"/>
            </w:tcMar>
            <w:vAlign w:val="top"/>
          </w:tcPr>
          <w:p w14:paraId="1D3846D4">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（八）带式输送机的输送带入井前未经过</w:t>
            </w:r>
            <w:r>
              <w:rPr>
                <w:rFonts w:hint="eastAsia" w:ascii="黑体" w:hAnsi="黑体" w:eastAsia="黑体" w:cs="黑体"/>
                <w:strike/>
                <w:dstrike w:val="0"/>
                <w:color w:val="0000FF"/>
                <w:spacing w:val="0"/>
                <w:sz w:val="21"/>
                <w:szCs w:val="21"/>
              </w:rPr>
              <w:t>第三方</w:t>
            </w:r>
            <w:r>
              <w:rPr>
                <w:rFonts w:hint="eastAsia" w:ascii="仿宋_GB2312" w:hAnsi="仿宋_GB2312" w:eastAsia="仿宋_GB2312" w:cs="仿宋_GB2312"/>
                <w:spacing w:val="0"/>
                <w:sz w:val="21"/>
                <w:szCs w:val="21"/>
              </w:rPr>
              <w:t>阻燃</w:t>
            </w:r>
            <w:r>
              <w:rPr>
                <w:rFonts w:hint="eastAsia" w:ascii="黑体" w:hAnsi="黑体" w:eastAsia="黑体" w:cs="黑体"/>
                <w:strike/>
                <w:dstrike w:val="0"/>
                <w:color w:val="0000FF"/>
                <w:spacing w:val="0"/>
                <w:sz w:val="21"/>
                <w:szCs w:val="21"/>
              </w:rPr>
              <w:t>和抗静电性能</w:t>
            </w:r>
            <w:r>
              <w:rPr>
                <w:rFonts w:hint="eastAsia" w:ascii="仿宋_GB2312" w:hAnsi="仿宋_GB2312" w:eastAsia="仿宋_GB2312" w:cs="仿宋_GB2312"/>
                <w:spacing w:val="0"/>
                <w:sz w:val="21"/>
                <w:szCs w:val="21"/>
              </w:rPr>
              <w:t>试验，或者试验不合格入井，</w:t>
            </w:r>
            <w:r>
              <w:rPr>
                <w:rFonts w:hint="eastAsia" w:ascii="黑体" w:hAnsi="黑体" w:eastAsia="黑体" w:cs="黑体"/>
                <w:strike/>
                <w:dstrike w:val="0"/>
                <w:color w:val="0000FF"/>
                <w:spacing w:val="0"/>
                <w:sz w:val="21"/>
                <w:szCs w:val="21"/>
              </w:rPr>
              <w:t>或者</w:t>
            </w:r>
            <w:r>
              <w:rPr>
                <w:rFonts w:hint="eastAsia" w:ascii="黑体" w:hAnsi="黑体" w:eastAsia="黑体" w:cs="黑体"/>
                <w:b/>
                <w:bCs/>
                <w:color w:val="009C46"/>
                <w:spacing w:val="0"/>
                <w:sz w:val="21"/>
                <w:szCs w:val="21"/>
              </w:rPr>
              <w:t>输送带</w:t>
            </w:r>
            <w:r>
              <w:rPr>
                <w:rFonts w:hint="eastAsia" w:ascii="黑体" w:hAnsi="黑体" w:eastAsia="黑体" w:cs="黑体"/>
                <w:strike/>
                <w:dstrike w:val="0"/>
                <w:color w:val="0000FF"/>
                <w:spacing w:val="0"/>
                <w:sz w:val="21"/>
                <w:szCs w:val="21"/>
              </w:rPr>
              <w:t>防打滑、跑偏、堆煤等保护装置或者温度、</w:t>
            </w:r>
            <w:r>
              <w:rPr>
                <w:rFonts w:hint="eastAsia" w:ascii="仿宋_GB2312" w:hAnsi="仿宋_GB2312" w:eastAsia="仿宋_GB2312" w:cs="仿宋_GB2312"/>
                <w:spacing w:val="0"/>
                <w:sz w:val="21"/>
                <w:szCs w:val="21"/>
              </w:rPr>
              <w:t>烟雾监测装置失效的；</w:t>
            </w:r>
          </w:p>
        </w:tc>
        <w:tc>
          <w:tcPr>
            <w:tcW w:w="4501" w:type="dxa"/>
            <w:tcMar>
              <w:top w:w="57" w:type="dxa"/>
              <w:left w:w="57" w:type="dxa"/>
              <w:bottom w:w="57" w:type="dxa"/>
              <w:right w:w="57" w:type="dxa"/>
            </w:tcMar>
            <w:vAlign w:val="top"/>
          </w:tcPr>
          <w:p w14:paraId="6096E33D">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九</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带式输送机的输送带入井前未经过阻燃试验或者试验不合格入井</w:t>
            </w:r>
            <w:r>
              <w:rPr>
                <w:rFonts w:hint="eastAsia" w:ascii="仿宋_GB2312" w:hAnsi="仿宋_GB2312" w:eastAsia="仿宋_GB2312" w:cs="仿宋_GB2312"/>
                <w:spacing w:val="0"/>
                <w:sz w:val="21"/>
                <w:szCs w:val="21"/>
                <w:lang w:eastAsia="zh-CN"/>
              </w:rPr>
              <w:t>。</w:t>
            </w:r>
          </w:p>
        </w:tc>
      </w:tr>
      <w:tr w14:paraId="01B96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vMerge w:val="continue"/>
            <w:tcMar>
              <w:top w:w="57" w:type="dxa"/>
              <w:left w:w="57" w:type="dxa"/>
              <w:bottom w:w="57" w:type="dxa"/>
              <w:right w:w="57" w:type="dxa"/>
            </w:tcMar>
            <w:vAlign w:val="top"/>
          </w:tcPr>
          <w:p w14:paraId="08114DB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p>
        </w:tc>
        <w:tc>
          <w:tcPr>
            <w:tcW w:w="4501" w:type="dxa"/>
            <w:tcMar>
              <w:top w:w="57" w:type="dxa"/>
              <w:left w:w="57" w:type="dxa"/>
              <w:bottom w:w="57" w:type="dxa"/>
              <w:right w:w="57" w:type="dxa"/>
            </w:tcMar>
            <w:vAlign w:val="top"/>
          </w:tcPr>
          <w:p w14:paraId="54E08CA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w:t>
            </w:r>
            <w:r>
              <w:rPr>
                <w:rFonts w:hint="eastAsia" w:ascii="仿宋_GB2312" w:hAnsi="仿宋_GB2312" w:eastAsia="仿宋_GB2312" w:cs="仿宋_GB2312"/>
                <w:spacing w:val="0"/>
                <w:sz w:val="21"/>
                <w:szCs w:val="21"/>
                <w:lang w:eastAsia="zh-CN"/>
              </w:rPr>
              <w:t>）</w:t>
            </w:r>
            <w:r>
              <w:rPr>
                <w:rFonts w:hint="eastAsia" w:ascii="黑体" w:hAnsi="黑体" w:eastAsia="黑体" w:cs="黑体"/>
                <w:b/>
                <w:bCs/>
                <w:color w:val="009C46"/>
                <w:spacing w:val="0"/>
                <w:sz w:val="21"/>
                <w:szCs w:val="21"/>
              </w:rPr>
              <w:t>带式输送机</w:t>
            </w:r>
            <w:r>
              <w:rPr>
                <w:rFonts w:hint="eastAsia" w:ascii="黑体" w:hAnsi="黑体" w:eastAsia="黑体" w:cs="黑体"/>
                <w:b w:val="0"/>
                <w:bCs/>
                <w:color w:val="FF0000"/>
                <w:spacing w:val="0"/>
                <w:sz w:val="21"/>
                <w:szCs w:val="21"/>
              </w:rPr>
              <w:t>未安设</w:t>
            </w:r>
            <w:r>
              <w:rPr>
                <w:rFonts w:hint="eastAsia" w:ascii="仿宋_GB2312" w:hAnsi="仿宋_GB2312" w:eastAsia="仿宋_GB2312" w:cs="仿宋_GB2312"/>
                <w:spacing w:val="0"/>
                <w:sz w:val="21"/>
                <w:szCs w:val="21"/>
              </w:rPr>
              <w:t>烟雾监测装置</w:t>
            </w:r>
            <w:r>
              <w:rPr>
                <w:rFonts w:hint="eastAsia" w:ascii="黑体" w:hAnsi="黑体" w:eastAsia="黑体" w:cs="黑体"/>
                <w:b w:val="0"/>
                <w:bCs/>
                <w:color w:val="FF0000"/>
                <w:spacing w:val="0"/>
                <w:sz w:val="21"/>
                <w:szCs w:val="21"/>
              </w:rPr>
              <w:t>或者</w:t>
            </w:r>
            <w:r>
              <w:rPr>
                <w:rFonts w:hint="eastAsia" w:ascii="仿宋_GB2312" w:hAnsi="仿宋_GB2312" w:eastAsia="仿宋_GB2312" w:cs="仿宋_GB2312"/>
                <w:spacing w:val="0"/>
                <w:sz w:val="21"/>
                <w:szCs w:val="21"/>
              </w:rPr>
              <w:t>失效</w:t>
            </w:r>
            <w:r>
              <w:rPr>
                <w:rFonts w:hint="eastAsia" w:ascii="仿宋_GB2312" w:hAnsi="仿宋_GB2312" w:eastAsia="仿宋_GB2312" w:cs="仿宋_GB2312"/>
                <w:spacing w:val="0"/>
                <w:sz w:val="21"/>
                <w:szCs w:val="21"/>
                <w:lang w:eastAsia="zh-CN"/>
              </w:rPr>
              <w:t>。</w:t>
            </w:r>
          </w:p>
        </w:tc>
      </w:tr>
      <w:tr w14:paraId="09779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087284D3">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645E21BF">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十一</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带式输送机机头、机尾滚筒下风侧未安设烟雾传感器、一氧化碳传感器或者失效</w:t>
            </w:r>
            <w:r>
              <w:rPr>
                <w:rFonts w:hint="eastAsia" w:ascii="黑体" w:hAnsi="黑体" w:eastAsia="黑体" w:cs="黑体"/>
                <w:b w:val="0"/>
                <w:bCs/>
                <w:color w:val="FF0000"/>
                <w:spacing w:val="0"/>
                <w:sz w:val="21"/>
                <w:szCs w:val="21"/>
                <w:lang w:eastAsia="zh-CN"/>
              </w:rPr>
              <w:t>。</w:t>
            </w:r>
          </w:p>
        </w:tc>
      </w:tr>
      <w:tr w14:paraId="0D0DC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shd w:val="clear" w:color="auto" w:fill="auto"/>
            <w:tcMar>
              <w:top w:w="57" w:type="dxa"/>
              <w:left w:w="57" w:type="dxa"/>
              <w:bottom w:w="57" w:type="dxa"/>
              <w:right w:w="57" w:type="dxa"/>
            </w:tcMar>
            <w:vAlign w:val="center"/>
          </w:tcPr>
          <w:p w14:paraId="21E9E1D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top"/>
          </w:tcPr>
          <w:p w14:paraId="74629AF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十二</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掘进工作面前方老巷、老空情况不明盲目掘进作业</w:t>
            </w:r>
            <w:r>
              <w:rPr>
                <w:rFonts w:hint="eastAsia" w:ascii="黑体" w:hAnsi="黑体" w:eastAsia="黑体" w:cs="黑体"/>
                <w:b w:val="0"/>
                <w:bCs/>
                <w:color w:val="FF0000"/>
                <w:spacing w:val="0"/>
                <w:sz w:val="21"/>
                <w:szCs w:val="21"/>
                <w:lang w:eastAsia="zh-CN"/>
              </w:rPr>
              <w:t>。</w:t>
            </w:r>
          </w:p>
        </w:tc>
      </w:tr>
      <w:tr w14:paraId="7A09B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473B2B9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（九）掘进工作面后部巷道或者独头巷道</w:t>
            </w:r>
            <w:r>
              <w:rPr>
                <w:rFonts w:hint="eastAsia" w:ascii="黑体" w:hAnsi="黑体" w:eastAsia="黑体" w:cs="黑体"/>
                <w:b/>
                <w:bCs/>
                <w:color w:val="009C46"/>
                <w:spacing w:val="0"/>
                <w:sz w:val="21"/>
                <w:szCs w:val="21"/>
              </w:rPr>
              <w:t>维修</w:t>
            </w:r>
            <w:r>
              <w:rPr>
                <w:rFonts w:hint="eastAsia" w:ascii="黑体" w:hAnsi="黑体" w:eastAsia="黑体" w:cs="黑体"/>
                <w:b/>
                <w:bCs/>
                <w:color w:val="00B050"/>
                <w:spacing w:val="0"/>
                <w:sz w:val="21"/>
                <w:szCs w:val="21"/>
              </w:rPr>
              <w:t>（</w:t>
            </w:r>
            <w:r>
              <w:rPr>
                <w:rFonts w:hint="eastAsia" w:ascii="仿宋_GB2312" w:hAnsi="仿宋_GB2312" w:eastAsia="仿宋_GB2312" w:cs="仿宋_GB2312"/>
                <w:spacing w:val="0"/>
                <w:sz w:val="21"/>
                <w:szCs w:val="21"/>
              </w:rPr>
              <w:t>着火点、高温点处理）时，维修</w:t>
            </w:r>
            <w:r>
              <w:rPr>
                <w:rFonts w:hint="eastAsia" w:ascii="黑体" w:hAnsi="黑体" w:eastAsia="黑体" w:cs="黑体"/>
                <w:b/>
                <w:bCs/>
                <w:color w:val="009C46"/>
                <w:spacing w:val="0"/>
                <w:sz w:val="21"/>
                <w:szCs w:val="21"/>
              </w:rPr>
              <w:t>（处理）</w:t>
            </w:r>
            <w:r>
              <w:rPr>
                <w:rFonts w:hint="eastAsia" w:ascii="仿宋_GB2312" w:hAnsi="仿宋_GB2312" w:eastAsia="仿宋_GB2312" w:cs="仿宋_GB2312"/>
                <w:spacing w:val="0"/>
                <w:sz w:val="21"/>
                <w:szCs w:val="21"/>
              </w:rPr>
              <w:t>点以里继续掘进或者有人员进入</w:t>
            </w:r>
            <w:r>
              <w:rPr>
                <w:rFonts w:hint="eastAsia" w:ascii="黑体" w:hAnsi="黑体" w:eastAsia="黑体" w:cs="黑体"/>
                <w:strike/>
                <w:dstrike w:val="0"/>
                <w:color w:val="0000FF"/>
                <w:spacing w:val="0"/>
                <w:sz w:val="21"/>
                <w:szCs w:val="21"/>
              </w:rPr>
              <w:t>，或者采掘工作面未按照国家规定安设压风、供水、通信线路及装置的</w:t>
            </w:r>
            <w:r>
              <w:rPr>
                <w:rFonts w:hint="eastAsia" w:ascii="仿宋_GB2312" w:hAnsi="仿宋_GB2312" w:eastAsia="仿宋_GB2312" w:cs="仿宋_GB2312"/>
                <w:spacing w:val="0"/>
                <w:sz w:val="21"/>
                <w:szCs w:val="21"/>
              </w:rPr>
              <w:t>；</w:t>
            </w:r>
          </w:p>
          <w:p w14:paraId="2A142BA9">
            <w:pPr>
              <w:pStyle w:val="11"/>
              <w:keepNext w:val="0"/>
              <w:keepLines w:val="0"/>
              <w:pageBreakBefore w:val="0"/>
              <w:widowControl w:val="0"/>
              <w:kinsoku/>
              <w:wordWrap/>
              <w:overflowPunct/>
              <w:topLinePunct w:val="0"/>
              <w:autoSpaceDE w:val="0"/>
              <w:autoSpaceDN w:val="0"/>
              <w:bidi w:val="0"/>
              <w:adjustRightInd/>
              <w:snapToGrid/>
              <w:spacing w:before="0" w:beforeLines="50" w:line="240" w:lineRule="exact"/>
              <w:ind w:left="0" w:leftChars="0" w:right="0" w:rightChars="0"/>
              <w:jc w:val="both"/>
              <w:textAlignment w:val="auto"/>
              <w:rPr>
                <w:rFonts w:hint="default" w:ascii="仿宋_GB2312" w:hAnsi="仿宋_GB2312" w:eastAsia="仿宋_GB2312" w:cs="仿宋_GB2312"/>
                <w:spacing w:val="0"/>
                <w:sz w:val="21"/>
                <w:szCs w:val="21"/>
                <w:lang w:val="en-US" w:eastAsia="zh-CN"/>
              </w:rPr>
            </w:pPr>
            <w:r>
              <w:rPr>
                <w:rFonts w:hint="eastAsia" w:ascii="黑体" w:hAnsi="黑体" w:eastAsia="黑体" w:cs="黑体"/>
                <w:b/>
                <w:bCs/>
                <w:color w:val="E46C0A" w:themeColor="accent6" w:themeShade="BF"/>
                <w:spacing w:val="0"/>
                <w:sz w:val="18"/>
                <w:szCs w:val="18"/>
                <w:lang w:val="en-US" w:eastAsia="zh-CN"/>
              </w:rPr>
              <w:t>*明确巷道维修：挑顶、刷帮、替棚、处置着火点等具体情形</w:t>
            </w:r>
          </w:p>
        </w:tc>
        <w:tc>
          <w:tcPr>
            <w:tcW w:w="4501" w:type="dxa"/>
            <w:tcMar>
              <w:top w:w="57" w:type="dxa"/>
              <w:left w:w="57" w:type="dxa"/>
              <w:bottom w:w="57" w:type="dxa"/>
              <w:right w:w="57" w:type="dxa"/>
            </w:tcMar>
            <w:vAlign w:val="top"/>
          </w:tcPr>
          <w:p w14:paraId="357B592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十三</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掘进工作面后部巷道或者独头巷道</w:t>
            </w:r>
            <w:r>
              <w:rPr>
                <w:rFonts w:hint="eastAsia" w:ascii="黑体" w:hAnsi="黑体" w:eastAsia="黑体" w:cs="黑体"/>
                <w:b/>
                <w:bCs/>
                <w:color w:val="009C46"/>
                <w:spacing w:val="0"/>
                <w:sz w:val="21"/>
                <w:szCs w:val="21"/>
              </w:rPr>
              <w:t>挑顶、刷帮、替棚、</w:t>
            </w:r>
            <w:r>
              <w:rPr>
                <w:rFonts w:hint="eastAsia" w:ascii="仿宋_GB2312" w:hAnsi="仿宋_GB2312" w:eastAsia="仿宋_GB2312" w:cs="仿宋_GB2312"/>
                <w:spacing w:val="0"/>
                <w:sz w:val="21"/>
                <w:szCs w:val="21"/>
              </w:rPr>
              <w:t>处置着火点</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高温点</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时,维修</w:t>
            </w:r>
            <w:r>
              <w:rPr>
                <w:rFonts w:hint="eastAsia" w:ascii="黑体" w:hAnsi="黑体" w:eastAsia="黑体" w:cs="黑体"/>
                <w:b/>
                <w:bCs/>
                <w:color w:val="009C46"/>
                <w:spacing w:val="0"/>
                <w:sz w:val="21"/>
                <w:szCs w:val="21"/>
                <w:lang w:eastAsia="zh-CN"/>
              </w:rPr>
              <w:t>（</w:t>
            </w:r>
            <w:r>
              <w:rPr>
                <w:rFonts w:hint="eastAsia" w:ascii="黑体" w:hAnsi="黑体" w:eastAsia="黑体" w:cs="黑体"/>
                <w:b/>
                <w:bCs/>
                <w:color w:val="009C46"/>
                <w:spacing w:val="0"/>
                <w:sz w:val="21"/>
                <w:szCs w:val="21"/>
              </w:rPr>
              <w:t>处置</w:t>
            </w:r>
            <w:r>
              <w:rPr>
                <w:rFonts w:hint="eastAsia" w:ascii="黑体" w:hAnsi="黑体" w:eastAsia="黑体" w:cs="黑体"/>
                <w:b/>
                <w:bCs/>
                <w:color w:val="009C46"/>
                <w:spacing w:val="0"/>
                <w:sz w:val="21"/>
                <w:szCs w:val="21"/>
                <w:lang w:eastAsia="zh-CN"/>
              </w:rPr>
              <w:t>）</w:t>
            </w:r>
            <w:r>
              <w:rPr>
                <w:rFonts w:hint="eastAsia" w:ascii="仿宋_GB2312" w:hAnsi="仿宋_GB2312" w:eastAsia="仿宋_GB2312" w:cs="仿宋_GB2312"/>
                <w:spacing w:val="0"/>
                <w:sz w:val="21"/>
                <w:szCs w:val="21"/>
              </w:rPr>
              <w:t>点以里继续掘进或者有人员进入</w:t>
            </w:r>
            <w:r>
              <w:rPr>
                <w:rFonts w:hint="eastAsia" w:ascii="仿宋_GB2312" w:hAnsi="仿宋_GB2312" w:eastAsia="仿宋_GB2312" w:cs="仿宋_GB2312"/>
                <w:spacing w:val="0"/>
                <w:sz w:val="21"/>
                <w:szCs w:val="21"/>
                <w:lang w:eastAsia="zh-CN"/>
              </w:rPr>
              <w:t>。</w:t>
            </w:r>
          </w:p>
        </w:tc>
      </w:tr>
      <w:tr w14:paraId="22F0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6F7C46A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2FAF269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十四</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突出煤层、冲击地压煤层采掘工作面未安设压风自救装置</w:t>
            </w:r>
            <w:r>
              <w:rPr>
                <w:rFonts w:hint="eastAsia" w:ascii="黑体" w:hAnsi="黑体" w:eastAsia="黑体" w:cs="黑体"/>
                <w:b w:val="0"/>
                <w:bCs/>
                <w:color w:val="FF0000"/>
                <w:spacing w:val="0"/>
                <w:sz w:val="21"/>
                <w:szCs w:val="21"/>
                <w:lang w:eastAsia="zh-CN"/>
              </w:rPr>
              <w:t>。</w:t>
            </w:r>
          </w:p>
        </w:tc>
      </w:tr>
      <w:tr w14:paraId="1B88C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5AAB571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26D9FE1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十五</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违反《煤矿安全规程》规定进行电焊、气焊和喷灯焊接等作业</w:t>
            </w:r>
            <w:r>
              <w:rPr>
                <w:rFonts w:hint="eastAsia" w:ascii="黑体" w:hAnsi="黑体" w:eastAsia="黑体" w:cs="黑体"/>
                <w:b w:val="0"/>
                <w:bCs/>
                <w:color w:val="FF0000"/>
                <w:spacing w:val="0"/>
                <w:sz w:val="21"/>
                <w:szCs w:val="21"/>
                <w:lang w:eastAsia="zh-CN"/>
              </w:rPr>
              <w:t>。</w:t>
            </w:r>
          </w:p>
        </w:tc>
      </w:tr>
      <w:tr w14:paraId="61A33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077A9F4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44566E36">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十六</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在采掘工作面违反作业规程规定空顶作业</w:t>
            </w:r>
            <w:r>
              <w:rPr>
                <w:rFonts w:hint="eastAsia" w:ascii="黑体" w:hAnsi="黑体" w:eastAsia="黑体" w:cs="黑体"/>
                <w:b w:val="0"/>
                <w:bCs/>
                <w:color w:val="FF0000"/>
                <w:spacing w:val="0"/>
                <w:sz w:val="21"/>
                <w:szCs w:val="21"/>
                <w:lang w:eastAsia="zh-CN"/>
              </w:rPr>
              <w:t>。</w:t>
            </w:r>
          </w:p>
        </w:tc>
      </w:tr>
      <w:tr w14:paraId="3162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38E5E731">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（五）采煤工作面不能保证2个畅通的安全出口的；</w:t>
            </w:r>
          </w:p>
          <w:p w14:paraId="22C9FB31">
            <w:pPr>
              <w:pStyle w:val="11"/>
              <w:keepNext w:val="0"/>
              <w:keepLines w:val="0"/>
              <w:pageBreakBefore w:val="0"/>
              <w:widowControl w:val="0"/>
              <w:kinsoku/>
              <w:wordWrap/>
              <w:overflowPunct/>
              <w:topLinePunct w:val="0"/>
              <w:autoSpaceDE w:val="0"/>
              <w:autoSpaceDN w:val="0"/>
              <w:bidi w:val="0"/>
              <w:adjustRightInd/>
              <w:snapToGrid/>
              <w:spacing w:before="0" w:beforeLines="50" w:line="280" w:lineRule="exact"/>
              <w:ind w:left="0" w:leftChars="0" w:right="0" w:rightChars="0"/>
              <w:jc w:val="both"/>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黑体" w:hAnsi="黑体" w:eastAsia="黑体" w:cs="黑体"/>
                <w:b/>
                <w:bCs/>
                <w:color w:val="E46C0A" w:themeColor="accent6" w:themeShade="BF"/>
                <w:spacing w:val="0"/>
                <w:sz w:val="18"/>
                <w:szCs w:val="18"/>
                <w:lang w:val="en-US" w:eastAsia="zh-CN"/>
              </w:rPr>
              <w:t>*原第十一条调整至本款</w:t>
            </w:r>
          </w:p>
        </w:tc>
        <w:tc>
          <w:tcPr>
            <w:tcW w:w="4501" w:type="dxa"/>
            <w:tcMar>
              <w:top w:w="57" w:type="dxa"/>
              <w:left w:w="57" w:type="dxa"/>
              <w:bottom w:w="57" w:type="dxa"/>
              <w:right w:w="57" w:type="dxa"/>
            </w:tcMar>
            <w:vAlign w:val="top"/>
          </w:tcPr>
          <w:p w14:paraId="17C382A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十七</w:t>
            </w: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采煤工作面不能保持2个畅通的安全出口</w:t>
            </w:r>
            <w:r>
              <w:rPr>
                <w:rFonts w:hint="eastAsia" w:ascii="仿宋_GB2312" w:hAnsi="仿宋_GB2312" w:eastAsia="仿宋_GB2312" w:cs="仿宋_GB2312"/>
                <w:spacing w:val="0"/>
                <w:sz w:val="21"/>
                <w:szCs w:val="21"/>
                <w:lang w:eastAsia="zh-CN"/>
              </w:rPr>
              <w:t>。</w:t>
            </w:r>
          </w:p>
        </w:tc>
      </w:tr>
      <w:tr w14:paraId="4B7C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376CB827">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3D94EC18">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十八</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2kW</w:t>
            </w:r>
            <w:r>
              <w:rPr>
                <w:rFonts w:hint="eastAsia" w:ascii="黑体" w:hAnsi="黑体" w:eastAsia="黑体" w:cs="黑体"/>
                <w:b w:val="0"/>
                <w:bCs/>
                <w:color w:val="FF0000"/>
                <w:spacing w:val="0"/>
                <w:sz w:val="21"/>
                <w:szCs w:val="21"/>
                <w:lang w:val="en-US" w:eastAsia="zh-CN"/>
              </w:rPr>
              <w:t>.</w:t>
            </w:r>
            <w:r>
              <w:rPr>
                <w:rFonts w:hint="eastAsia" w:ascii="黑体" w:hAnsi="黑体" w:eastAsia="黑体" w:cs="黑体"/>
                <w:b w:val="0"/>
                <w:bCs/>
                <w:color w:val="FF0000"/>
                <w:spacing w:val="0"/>
                <w:sz w:val="21"/>
                <w:szCs w:val="21"/>
              </w:rPr>
              <w:t>h以上电量锂电池在井下充电时,未在专用充电硐室充电,或者专用充电硐室未实现独立通风,未设置具备超限自动断电功能的甲烷、一氧化碳、氢气、烟雾和温度传感器</w:t>
            </w:r>
            <w:r>
              <w:rPr>
                <w:rFonts w:hint="eastAsia" w:ascii="黑体" w:hAnsi="黑体" w:eastAsia="黑体" w:cs="黑体"/>
                <w:b w:val="0"/>
                <w:bCs/>
                <w:color w:val="FF0000"/>
                <w:spacing w:val="0"/>
                <w:sz w:val="21"/>
                <w:szCs w:val="21"/>
                <w:lang w:eastAsia="zh-CN"/>
              </w:rPr>
              <w:t>。</w:t>
            </w:r>
          </w:p>
        </w:tc>
      </w:tr>
      <w:tr w14:paraId="6845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center"/>
          </w:tcPr>
          <w:p w14:paraId="371748B9">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pPr>
            <w:r>
              <w:rPr>
                <w:rFonts w:hint="eastAsia" w:ascii="黑体" w:hAnsi="黑体" w:eastAsia="黑体" w:cs="黑体"/>
                <w:b w:val="0"/>
                <w:bCs/>
                <w:color w:val="FF0000"/>
                <w:spacing w:val="0"/>
                <w:sz w:val="21"/>
                <w:szCs w:val="21"/>
                <w:lang w:val="en-US" w:eastAsia="zh-CN"/>
              </w:rPr>
              <w:t>新  增</w:t>
            </w:r>
          </w:p>
        </w:tc>
        <w:tc>
          <w:tcPr>
            <w:tcW w:w="4501" w:type="dxa"/>
            <w:tcMar>
              <w:top w:w="57" w:type="dxa"/>
              <w:left w:w="57" w:type="dxa"/>
              <w:bottom w:w="57" w:type="dxa"/>
              <w:right w:w="57" w:type="dxa"/>
            </w:tcMar>
            <w:vAlign w:val="center"/>
          </w:tcPr>
          <w:p w14:paraId="2F771EF2">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lang w:val="en-US" w:eastAsia="zh-CN"/>
              </w:rPr>
            </w:pPr>
            <w:r>
              <w:rPr>
                <w:rFonts w:hint="eastAsia" w:ascii="仿宋_GB2312" w:hAnsi="仿宋_GB2312" w:eastAsia="仿宋_GB2312" w:cs="仿宋_GB2312"/>
                <w:spacing w:val="0"/>
                <w:sz w:val="21"/>
                <w:szCs w:val="21"/>
                <w:lang w:eastAsia="zh-CN"/>
              </w:rPr>
              <w:t>（</w:t>
            </w:r>
            <w:r>
              <w:rPr>
                <w:rFonts w:hint="eastAsia" w:ascii="仿宋_GB2312" w:hAnsi="仿宋_GB2312" w:eastAsia="仿宋_GB2312" w:cs="仿宋_GB2312"/>
                <w:spacing w:val="0"/>
                <w:sz w:val="21"/>
                <w:szCs w:val="21"/>
              </w:rPr>
              <w:t>十九</w:t>
            </w:r>
            <w:r>
              <w:rPr>
                <w:rFonts w:hint="eastAsia" w:ascii="仿宋_GB2312" w:hAnsi="仿宋_GB2312" w:eastAsia="仿宋_GB2312" w:cs="仿宋_GB2312"/>
                <w:spacing w:val="0"/>
                <w:sz w:val="21"/>
                <w:szCs w:val="21"/>
                <w:lang w:eastAsia="zh-CN"/>
              </w:rPr>
              <w:t>）</w:t>
            </w:r>
            <w:r>
              <w:rPr>
                <w:rFonts w:hint="eastAsia" w:ascii="黑体" w:hAnsi="黑体" w:eastAsia="黑体" w:cs="黑体"/>
                <w:b w:val="0"/>
                <w:bCs/>
                <w:color w:val="FF0000"/>
                <w:spacing w:val="0"/>
                <w:sz w:val="21"/>
                <w:szCs w:val="21"/>
              </w:rPr>
              <w:t>井下发生未造成人员伤亡的煤</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岩</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与瓦斯</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二氧化碳</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突出,因透</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突、溃</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水造成采掘工作面被淹,井巷、采掘工作面发生冲击地压动力现象造成巷道严重变形、设备损坏或者因火灾封闭工作面</w:t>
            </w:r>
            <w:r>
              <w:rPr>
                <w:rFonts w:hint="eastAsia" w:ascii="黑体" w:hAnsi="黑体" w:eastAsia="黑体" w:cs="黑体"/>
                <w:b w:val="0"/>
                <w:bCs/>
                <w:color w:val="FF0000"/>
                <w:spacing w:val="0"/>
                <w:sz w:val="21"/>
                <w:szCs w:val="21"/>
                <w:lang w:eastAsia="zh-CN"/>
              </w:rPr>
              <w:t>（</w:t>
            </w:r>
            <w:r>
              <w:rPr>
                <w:rFonts w:hint="eastAsia" w:ascii="黑体" w:hAnsi="黑体" w:eastAsia="黑体" w:cs="黑体"/>
                <w:b w:val="0"/>
                <w:bCs/>
                <w:color w:val="FF0000"/>
                <w:spacing w:val="0"/>
                <w:sz w:val="21"/>
                <w:szCs w:val="21"/>
              </w:rPr>
              <w:t>矿井</w:t>
            </w:r>
            <w:r>
              <w:rPr>
                <w:rFonts w:hint="eastAsia" w:ascii="黑体" w:hAnsi="黑体" w:eastAsia="黑体" w:cs="黑体"/>
                <w:b w:val="0"/>
                <w:bCs/>
                <w:color w:val="FF0000"/>
                <w:spacing w:val="0"/>
                <w:sz w:val="21"/>
                <w:szCs w:val="21"/>
                <w:lang w:eastAsia="zh-CN"/>
              </w:rPr>
              <w:t>）。</w:t>
            </w:r>
          </w:p>
        </w:tc>
      </w:tr>
      <w:tr w14:paraId="4B6C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5F865591">
            <w:pPr>
              <w:pStyle w:val="11"/>
              <w:keepNext w:val="0"/>
              <w:keepLines w:val="0"/>
              <w:pageBreakBefore w:val="0"/>
              <w:widowControl w:val="0"/>
              <w:kinsoku/>
              <w:wordWrap/>
              <w:overflowPunct/>
              <w:topLinePunct w:val="0"/>
              <w:autoSpaceDE w:val="0"/>
              <w:autoSpaceDN w:val="0"/>
              <w:bidi w:val="0"/>
              <w:adjustRightInd/>
              <w:snapToGrid/>
              <w:spacing w:before="0" w:line="26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黑体" w:hAnsi="黑体" w:eastAsia="黑体" w:cs="黑体"/>
                <w:color w:val="808080" w:themeColor="text1" w:themeTint="80"/>
                <w:spacing w:val="0"/>
                <w:sz w:val="18"/>
                <w:szCs w:val="18"/>
                <w14:textFill>
                  <w14:solidFill>
                    <w14:schemeClr w14:val="tx1">
                      <w14:lumMod w14:val="50000"/>
                      <w14:lumOff w14:val="50000"/>
                    </w14:schemeClr>
                  </w14:solidFill>
                </w14:textFill>
              </w:rPr>
              <w:t>（十）露天煤矿边坡角大于设计最大值，或者边坡发生严重变形未及时采取措施进行治理的；</w:t>
            </w:r>
          </w:p>
        </w:tc>
        <w:tc>
          <w:tcPr>
            <w:tcW w:w="4501" w:type="dxa"/>
            <w:tcMar>
              <w:top w:w="57" w:type="dxa"/>
              <w:left w:w="57" w:type="dxa"/>
              <w:bottom w:w="57" w:type="dxa"/>
              <w:right w:w="57" w:type="dxa"/>
            </w:tcMar>
            <w:vAlign w:val="center"/>
          </w:tcPr>
          <w:p w14:paraId="33601600">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b/>
                <w:bCs/>
                <w:color w:val="E46C0A" w:themeColor="accent6" w:themeShade="BF"/>
                <w:spacing w:val="0"/>
                <w:sz w:val="18"/>
                <w:szCs w:val="18"/>
                <w:lang w:val="en-US" w:eastAsia="zh-CN"/>
              </w:rPr>
            </w:pPr>
            <w:r>
              <w:rPr>
                <w:rFonts w:hint="eastAsia" w:ascii="黑体" w:hAnsi="黑体" w:eastAsia="黑体" w:cs="黑体"/>
                <w:b/>
                <w:bCs/>
                <w:color w:val="E46C0A" w:themeColor="accent6" w:themeShade="BF"/>
                <w:spacing w:val="0"/>
                <w:sz w:val="18"/>
                <w:szCs w:val="18"/>
                <w:lang w:val="en-US" w:eastAsia="zh-CN"/>
              </w:rPr>
              <w:t>调整至第十五条（一）（二）款</w:t>
            </w:r>
          </w:p>
        </w:tc>
      </w:tr>
      <w:tr w14:paraId="6CCC2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501" w:type="dxa"/>
            <w:tcMar>
              <w:top w:w="57" w:type="dxa"/>
              <w:left w:w="57" w:type="dxa"/>
              <w:bottom w:w="57" w:type="dxa"/>
              <w:right w:w="57" w:type="dxa"/>
            </w:tcMar>
            <w:vAlign w:val="top"/>
          </w:tcPr>
          <w:p w14:paraId="5D19FC7B">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jc w:val="both"/>
              <w:textAlignment w:val="auto"/>
              <w:rPr>
                <w:rFonts w:hint="eastAsia" w:ascii="仿宋_GB2312" w:hAnsi="仿宋_GB2312" w:eastAsia="仿宋_GB2312" w:cs="仿宋_GB2312"/>
                <w:spacing w:val="0"/>
                <w:sz w:val="21"/>
                <w:szCs w:val="21"/>
              </w:rPr>
            </w:pPr>
            <w:r>
              <w:rPr>
                <w:rFonts w:hint="eastAsia" w:ascii="仿宋_GB2312" w:hAnsi="仿宋_GB2312" w:eastAsia="仿宋_GB2312" w:cs="仿宋_GB2312"/>
                <w:spacing w:val="0"/>
                <w:sz w:val="21"/>
                <w:szCs w:val="21"/>
              </w:rPr>
              <w:t>（十一）</w:t>
            </w:r>
            <w:r>
              <w:rPr>
                <w:rFonts w:hint="eastAsia" w:ascii="黑体" w:hAnsi="黑体" w:eastAsia="黑体" w:cs="黑体"/>
                <w:strike/>
                <w:dstrike w:val="0"/>
                <w:color w:val="0000FF"/>
                <w:spacing w:val="0"/>
                <w:sz w:val="21"/>
                <w:szCs w:val="21"/>
              </w:rPr>
              <w:t>国家矿山安全监察机构认定的其他重大事故隐患。</w:t>
            </w:r>
          </w:p>
        </w:tc>
        <w:tc>
          <w:tcPr>
            <w:tcW w:w="4501" w:type="dxa"/>
            <w:shd w:val="clear" w:color="auto" w:fill="auto"/>
            <w:tcMar>
              <w:top w:w="57" w:type="dxa"/>
              <w:left w:w="57" w:type="dxa"/>
              <w:bottom w:w="57" w:type="dxa"/>
              <w:right w:w="57" w:type="dxa"/>
            </w:tcMar>
            <w:vAlign w:val="center"/>
          </w:tcPr>
          <w:p w14:paraId="3ED537AA">
            <w:pPr>
              <w:pStyle w:val="11"/>
              <w:keepNext w:val="0"/>
              <w:keepLines w:val="0"/>
              <w:pageBreakBefore w:val="0"/>
              <w:widowControl w:val="0"/>
              <w:kinsoku/>
              <w:wordWrap/>
              <w:overflowPunct/>
              <w:topLinePunct w:val="0"/>
              <w:autoSpaceDE w:val="0"/>
              <w:autoSpaceDN w:val="0"/>
              <w:bidi w:val="0"/>
              <w:adjustRightInd/>
              <w:snapToGrid/>
              <w:spacing w:before="0" w:line="280" w:lineRule="exact"/>
              <w:ind w:left="0" w:leftChars="0" w:right="0" w:rightChars="0" w:firstLine="0" w:firstLineChars="0"/>
              <w:jc w:val="center"/>
              <w:textAlignment w:val="auto"/>
              <w:rPr>
                <w:rFonts w:hint="eastAsia" w:ascii="仿宋_GB2312" w:hAnsi="仿宋_GB2312" w:eastAsia="仿宋_GB2312" w:cs="仿宋_GB2312"/>
                <w:spacing w:val="0"/>
                <w:sz w:val="21"/>
                <w:szCs w:val="21"/>
                <w:lang w:val="en-US" w:eastAsia="zh-CN" w:bidi="zh-CN"/>
              </w:rPr>
            </w:pPr>
            <w:r>
              <w:rPr>
                <w:rFonts w:hint="eastAsia" w:ascii="黑体" w:hAnsi="黑体" w:eastAsia="黑体" w:cs="黑体"/>
                <w:strike w:val="0"/>
                <w:dstrike w:val="0"/>
                <w:color w:val="0000FF"/>
                <w:spacing w:val="0"/>
                <w:sz w:val="21"/>
                <w:szCs w:val="21"/>
                <w:lang w:val="en-US" w:eastAsia="zh-CN"/>
              </w:rPr>
              <w:t>删  除</w:t>
            </w:r>
          </w:p>
        </w:tc>
      </w:tr>
    </w:tbl>
    <w:p w14:paraId="2F23D9C7"/>
    <w:sectPr>
      <w:footerReference r:id="rId5" w:type="default"/>
      <w:footerReference r:id="rId6" w:type="even"/>
      <w:pgSz w:w="11906" w:h="16838"/>
      <w:pgMar w:top="1701" w:right="1474" w:bottom="1417" w:left="1587" w:header="720" w:footer="1077"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创艺简标宋">
    <w:panose1 w:val="00000000000000000000"/>
    <w:charset w:val="80"/>
    <w:family w:val="auto"/>
    <w:pitch w:val="default"/>
    <w:sig w:usb0="00000283" w:usb1="180F1C10" w:usb2="00000016" w:usb3="00000000" w:csb0="40020001" w:csb1="C0D60000"/>
  </w:font>
  <w:font w:name="楷体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7E83D">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3405" cy="278130"/>
              <wp:effectExtent l="0" t="0" r="0" b="0"/>
              <wp:wrapNone/>
              <wp:docPr id="4098" name="文本框 1"/>
              <wp:cNvGraphicFramePr/>
              <a:graphic xmlns:a="http://schemas.openxmlformats.org/drawingml/2006/main">
                <a:graphicData uri="http://schemas.microsoft.com/office/word/2010/wordprocessingShape">
                  <wps:wsp>
                    <wps:cNvSpPr/>
                    <wps:spPr>
                      <a:xfrm>
                        <a:off x="0" y="0"/>
                        <a:ext cx="573405" cy="278130"/>
                      </a:xfrm>
                      <a:prstGeom prst="rect">
                        <a:avLst/>
                      </a:prstGeom>
                      <a:ln>
                        <a:noFill/>
                      </a:ln>
                    </wps:spPr>
                    <wps:txbx>
                      <w:txbxContent>
                        <w:p w14:paraId="46ED8312">
                          <w:pPr>
                            <w:pStyle w:val="3"/>
                            <w:ind w:left="0" w:leftChars="0" w:right="0" w:rightChars="0" w:firstLine="0" w:firstLineChars="0"/>
                            <w:jc w:val="center"/>
                            <w:rPr>
                              <w:sz w:val="18"/>
                              <w:szCs w:val="18"/>
                            </w:rPr>
                          </w:pPr>
                          <w:r>
                            <w:rPr>
                              <w:rFonts w:ascii="宋体" w:hAnsi="宋体" w:cs="仿宋"/>
                              <w:spacing w:val="20"/>
                              <w:sz w:val="18"/>
                              <w:szCs w:val="18"/>
                            </w:rPr>
                            <w:t>—</w:t>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r>
                            <w:rPr>
                              <w:rFonts w:ascii="宋体" w:hAnsi="宋体" w:cs="仿宋"/>
                              <w:spacing w:val="20"/>
                              <w:sz w:val="18"/>
                              <w:szCs w:val="18"/>
                            </w:rPr>
                            <w:t>—</w:t>
                          </w:r>
                        </w:p>
                      </w:txbxContent>
                    </wps:txbx>
                    <wps:bodyPr vert="horz" wrap="square" lIns="0" tIns="0" rIns="0" bIns="0" anchor="t" upright="0">
                      <a:noAutofit/>
                    </wps:bodyPr>
                  </wps:wsp>
                </a:graphicData>
              </a:graphic>
            </wp:anchor>
          </w:drawing>
        </mc:Choice>
        <mc:Fallback>
          <w:pict>
            <v:rect id="文本框 1" o:spid="_x0000_s1026" o:spt="1" style="position:absolute;left:0pt;margin-top:0pt;height:21.9pt;width:45.15pt;mso-position-horizontal:center;mso-position-horizontal-relative:margin;z-index:251659264;mso-width-relative:page;mso-height-relative:page;" filled="f" stroked="f" coordsize="21600,21600" o:gfxdata="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ECHAo1QAAAAMBAAAPAAAAAAAAAAEA&#10;IAAAACIAAABkcnMvZG93bnJldi54bWxQSwECFAAUAAAACACHTuJANuHHSdkBAACeAwAADgAAAAAA&#10;AAABACAAAAAkAQAAZHJzL2Uyb0RvYy54bWxQSwUGAAAAAAYABgBZAQAAbwUAAAAA&#10;">
              <v:fill on="f" focussize="0,0"/>
              <v:stroke on="f"/>
              <v:imagedata o:title=""/>
              <o:lock v:ext="edit" aspectratio="f"/>
              <v:textbox inset="0mm,0mm,0mm,0mm">
                <w:txbxContent>
                  <w:p w14:paraId="46ED8312">
                    <w:pPr>
                      <w:pStyle w:val="3"/>
                      <w:ind w:left="0" w:leftChars="0" w:right="0" w:rightChars="0" w:firstLine="0" w:firstLineChars="0"/>
                      <w:jc w:val="center"/>
                      <w:rPr>
                        <w:sz w:val="18"/>
                        <w:szCs w:val="18"/>
                      </w:rPr>
                    </w:pPr>
                    <w:r>
                      <w:rPr>
                        <w:rFonts w:ascii="宋体" w:hAnsi="宋体" w:cs="仿宋"/>
                        <w:spacing w:val="20"/>
                        <w:sz w:val="18"/>
                        <w:szCs w:val="18"/>
                      </w:rPr>
                      <w:t>—</w:t>
                    </w:r>
                    <w:r>
                      <w:rPr>
                        <w:sz w:val="18"/>
                        <w:szCs w:val="18"/>
                      </w:rPr>
                      <w:fldChar w:fldCharType="begin"/>
                    </w:r>
                    <w:r>
                      <w:rPr>
                        <w:sz w:val="18"/>
                        <w:szCs w:val="18"/>
                      </w:rPr>
                      <w:instrText xml:space="preserve"> PAGE  \* MERGEFORMAT </w:instrText>
                    </w:r>
                    <w:r>
                      <w:rPr>
                        <w:sz w:val="18"/>
                        <w:szCs w:val="18"/>
                      </w:rPr>
                      <w:fldChar w:fldCharType="separate"/>
                    </w:r>
                    <w:r>
                      <w:rPr>
                        <w:sz w:val="18"/>
                        <w:szCs w:val="18"/>
                      </w:rPr>
                      <w:t>1</w:t>
                    </w:r>
                    <w:r>
                      <w:rPr>
                        <w:sz w:val="18"/>
                        <w:szCs w:val="18"/>
                      </w:rPr>
                      <w:fldChar w:fldCharType="end"/>
                    </w:r>
                    <w:r>
                      <w:rPr>
                        <w:rFonts w:ascii="宋体" w:hAnsi="宋体" w:cs="仿宋"/>
                        <w:spacing w:val="20"/>
                        <w:sz w:val="18"/>
                        <w:szCs w:val="18"/>
                      </w:rPr>
                      <w:t>—</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3AA27">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785495" cy="267970"/>
              <wp:effectExtent l="0" t="0" r="0" b="0"/>
              <wp:wrapNone/>
              <wp:docPr id="4097" name="文本框 2"/>
              <wp:cNvGraphicFramePr/>
              <a:graphic xmlns:a="http://schemas.openxmlformats.org/drawingml/2006/main">
                <a:graphicData uri="http://schemas.microsoft.com/office/word/2010/wordprocessingShape">
                  <wps:wsp>
                    <wps:cNvSpPr/>
                    <wps:spPr>
                      <a:xfrm>
                        <a:off x="0" y="0"/>
                        <a:ext cx="785495" cy="267970"/>
                      </a:xfrm>
                      <a:prstGeom prst="rect">
                        <a:avLst/>
                      </a:prstGeom>
                      <a:ln>
                        <a:noFill/>
                      </a:ln>
                    </wps:spPr>
                    <wps:txbx>
                      <w:txbxContent>
                        <w:p w14:paraId="416D051E">
                          <w:pPr>
                            <w:pStyle w:val="3"/>
                            <w:ind w:left="0" w:leftChars="0" w:right="0" w:rightChars="0" w:firstLine="0" w:firstLineChars="0"/>
                            <w:jc w:val="center"/>
                            <w:rPr>
                              <w:sz w:val="18"/>
                              <w:szCs w:val="18"/>
                            </w:rPr>
                          </w:pPr>
                          <w:r>
                            <w:rPr>
                              <w:rFonts w:ascii="宋体" w:hAnsi="宋体" w:cs="仿宋"/>
                              <w:spacing w:val="20"/>
                              <w:sz w:val="18"/>
                              <w:szCs w:val="18"/>
                            </w:rPr>
                            <w:t>—</w:t>
                          </w:r>
                          <w:r>
                            <w:rPr>
                              <w:rFonts w:hint="eastAsia" w:cs="仿宋"/>
                              <w:spacing w:val="20"/>
                              <w:sz w:val="18"/>
                              <w:szCs w:val="18"/>
                              <w:lang w:val="en-US" w:eastAsia="zh-CN"/>
                            </w:rPr>
                            <w:t xml:space="preserve"> </w:t>
                          </w: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rFonts w:hint="eastAsia"/>
                              <w:sz w:val="18"/>
                              <w:szCs w:val="18"/>
                              <w:lang w:val="en-US" w:eastAsia="zh-CN"/>
                            </w:rPr>
                            <w:t xml:space="preserve"> </w:t>
                          </w:r>
                          <w:r>
                            <w:rPr>
                              <w:rFonts w:ascii="宋体" w:hAnsi="宋体" w:cs="仿宋"/>
                              <w:spacing w:val="20"/>
                              <w:sz w:val="18"/>
                              <w:szCs w:val="18"/>
                            </w:rPr>
                            <w:t>—</w:t>
                          </w:r>
                        </w:p>
                      </w:txbxContent>
                    </wps:txbx>
                    <wps:bodyPr vert="horz" wrap="square" lIns="0" tIns="0" rIns="0" bIns="0" anchor="t" upright="0">
                      <a:noAutofit/>
                    </wps:bodyPr>
                  </wps:wsp>
                </a:graphicData>
              </a:graphic>
            </wp:anchor>
          </w:drawing>
        </mc:Choice>
        <mc:Fallback>
          <w:pict>
            <v:rect id="文本框 2" o:spid="_x0000_s1026" o:spt="1" style="position:absolute;left:0pt;margin-top:0pt;height:21.1pt;width:61.85pt;mso-position-horizontal:center;mso-position-horizontal-relative:margin;z-index:251659264;mso-width-relative:page;mso-height-relative:page;" filled="f" stroked="f" coordsize="21600,21600" o:gfxdata="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6fzP9YAAAAEAQAADwAAAAAAAAAB&#10;ACAAAAAiAAAAZHJzL2Rvd25yZXYueG1sUEsBAhQAFAAAAAgAh07iQISWfFPZAQAAngMAAA4AAAAA&#10;AAAAAQAgAAAAJQEAAGRycy9lMm9Eb2MueG1sUEsFBgAAAAAGAAYAWQEAAHAFAAAAAA==&#10;">
              <v:fill on="f" focussize="0,0"/>
              <v:stroke on="f"/>
              <v:imagedata o:title=""/>
              <o:lock v:ext="edit" aspectratio="f"/>
              <v:textbox inset="0mm,0mm,0mm,0mm">
                <w:txbxContent>
                  <w:p w14:paraId="416D051E">
                    <w:pPr>
                      <w:pStyle w:val="3"/>
                      <w:ind w:left="0" w:leftChars="0" w:right="0" w:rightChars="0" w:firstLine="0" w:firstLineChars="0"/>
                      <w:jc w:val="center"/>
                      <w:rPr>
                        <w:sz w:val="18"/>
                        <w:szCs w:val="18"/>
                      </w:rPr>
                    </w:pPr>
                    <w:r>
                      <w:rPr>
                        <w:rFonts w:ascii="宋体" w:hAnsi="宋体" w:cs="仿宋"/>
                        <w:spacing w:val="20"/>
                        <w:sz w:val="18"/>
                        <w:szCs w:val="18"/>
                      </w:rPr>
                      <w:t>—</w:t>
                    </w:r>
                    <w:r>
                      <w:rPr>
                        <w:rFonts w:hint="eastAsia" w:cs="仿宋"/>
                        <w:spacing w:val="20"/>
                        <w:sz w:val="18"/>
                        <w:szCs w:val="18"/>
                        <w:lang w:val="en-US" w:eastAsia="zh-CN"/>
                      </w:rPr>
                      <w:t xml:space="preserve"> </w:t>
                    </w:r>
                    <w:r>
                      <w:rPr>
                        <w:sz w:val="18"/>
                        <w:szCs w:val="18"/>
                      </w:rPr>
                      <w:fldChar w:fldCharType="begin"/>
                    </w:r>
                    <w:r>
                      <w:rPr>
                        <w:sz w:val="18"/>
                        <w:szCs w:val="18"/>
                      </w:rPr>
                      <w:instrText xml:space="preserve"> PAGE  \* MERGEFORMAT </w:instrText>
                    </w:r>
                    <w:r>
                      <w:rPr>
                        <w:sz w:val="18"/>
                        <w:szCs w:val="18"/>
                      </w:rPr>
                      <w:fldChar w:fldCharType="separate"/>
                    </w:r>
                    <w:r>
                      <w:rPr>
                        <w:sz w:val="18"/>
                        <w:szCs w:val="18"/>
                      </w:rPr>
                      <w:t>2</w:t>
                    </w:r>
                    <w:r>
                      <w:rPr>
                        <w:sz w:val="18"/>
                        <w:szCs w:val="18"/>
                      </w:rPr>
                      <w:fldChar w:fldCharType="end"/>
                    </w:r>
                    <w:r>
                      <w:rPr>
                        <w:rFonts w:hint="eastAsia"/>
                        <w:sz w:val="18"/>
                        <w:szCs w:val="18"/>
                        <w:lang w:val="en-US" w:eastAsia="zh-CN"/>
                      </w:rPr>
                      <w:t xml:space="preserve"> </w:t>
                    </w:r>
                    <w:r>
                      <w:rPr>
                        <w:rFonts w:ascii="宋体" w:hAnsi="宋体" w:cs="仿宋"/>
                        <w:spacing w:val="20"/>
                        <w:sz w:val="18"/>
                        <w:szCs w:val="18"/>
                      </w:rPr>
                      <w:t>—</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evenAndOddHeaders w:val="1"/>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VjMjE0MzViNDI5YzBjMDM0MGEzZjU2MGJkNWJmNjMifQ=="/>
  </w:docVars>
  <w:rsids>
    <w:rsidRoot w:val="00000000"/>
    <w:rsid w:val="0849038F"/>
    <w:rsid w:val="0E1121B4"/>
    <w:rsid w:val="0F50378D"/>
    <w:rsid w:val="11AD363C"/>
    <w:rsid w:val="1E4352D3"/>
    <w:rsid w:val="231878E4"/>
    <w:rsid w:val="24D55262"/>
    <w:rsid w:val="2A716B2B"/>
    <w:rsid w:val="2B41325A"/>
    <w:rsid w:val="2C641513"/>
    <w:rsid w:val="2E165C6D"/>
    <w:rsid w:val="34BC4DA9"/>
    <w:rsid w:val="397F6245"/>
    <w:rsid w:val="3B687935"/>
    <w:rsid w:val="3F201483"/>
    <w:rsid w:val="46365AE2"/>
    <w:rsid w:val="47B24949"/>
    <w:rsid w:val="48584AE1"/>
    <w:rsid w:val="508B699A"/>
    <w:rsid w:val="512E77FD"/>
    <w:rsid w:val="52F12681"/>
    <w:rsid w:val="530524A2"/>
    <w:rsid w:val="574D2FA8"/>
    <w:rsid w:val="59B46794"/>
    <w:rsid w:val="5D1A35FF"/>
    <w:rsid w:val="5EBA548C"/>
    <w:rsid w:val="62FD5F18"/>
    <w:rsid w:val="6BA41670"/>
    <w:rsid w:val="6CE702A7"/>
    <w:rsid w:val="6DC246FE"/>
    <w:rsid w:val="76805946"/>
    <w:rsid w:val="77AA3172"/>
    <w:rsid w:val="77D243FB"/>
    <w:rsid w:val="79D974D3"/>
    <w:rsid w:val="7B1E3B0F"/>
    <w:rsid w:val="7F4B559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character" w:default="1" w:styleId="7">
    <w:name w:val="Default Paragraph Font"/>
    <w:qFormat/>
    <w:uiPriority w:val="1"/>
  </w:style>
  <w:style w:type="table" w:default="1" w:styleId="6">
    <w:name w:val="Normal Table"/>
    <w:qFormat/>
    <w:uiPriority w:val="0"/>
    <w:tblPr>
      <w:tblCellMar>
        <w:top w:w="0" w:type="dxa"/>
        <w:left w:w="108" w:type="dxa"/>
        <w:bottom w:w="0" w:type="dxa"/>
        <w:right w:w="108" w:type="dxa"/>
      </w:tblCellMar>
    </w:tblPr>
  </w:style>
  <w:style w:type="paragraph" w:styleId="2">
    <w:name w:val="Body Text"/>
    <w:basedOn w:val="1"/>
    <w:qFormat/>
    <w:uiPriority w:val="1"/>
    <w:rPr>
      <w:rFonts w:ascii="Microsoft JhengHei" w:hAnsi="Microsoft JhengHei" w:eastAsia="Microsoft JhengHei" w:cs="Microsoft JhengHei"/>
      <w:b/>
      <w:bCs/>
      <w:sz w:val="40"/>
      <w:szCs w:val="40"/>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table" w:customStyle="1" w:styleId="9">
    <w:name w:val="Table Normal"/>
    <w:qFormat/>
    <w:uiPriority w:val="2"/>
    <w:tblPr>
      <w:tblCellMar>
        <w:top w:w="0" w:type="dxa"/>
        <w:left w:w="0" w:type="dxa"/>
        <w:bottom w:w="0" w:type="dxa"/>
        <w:right w:w="0" w:type="dxa"/>
      </w:tblCellMar>
    </w:tblPr>
  </w:style>
  <w:style w:type="paragraph" w:styleId="10">
    <w:name w:val="List Paragraph"/>
    <w:basedOn w:val="1"/>
    <w:qFormat/>
    <w:uiPriority w:val="1"/>
    <w:rPr>
      <w:lang w:val="zh-CN" w:eastAsia="zh-CN" w:bidi="zh-CN"/>
    </w:rPr>
  </w:style>
  <w:style w:type="paragraph" w:customStyle="1" w:styleId="11">
    <w:name w:val="Table Paragraph"/>
    <w:basedOn w:val="1"/>
    <w:qFormat/>
    <w:uiPriority w:val="1"/>
    <w:pPr>
      <w:ind w:left="4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17118</Words>
  <Characters>17579</Characters>
  <Paragraphs>351</Paragraphs>
  <TotalTime>73</TotalTime>
  <ScaleCrop>false</ScaleCrop>
  <LinksUpToDate>false</LinksUpToDate>
  <CharactersWithSpaces>17740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2020-12-02T01:09:00Z</dcterms:created>
  <dc:creator>kqk</dc:creator>
  <cp:lastModifiedBy>weiguo</cp:lastModifiedBy>
  <cp:lastPrinted>2020-12-04T13:25:00Z</cp:lastPrinted>
  <dcterms:modified xsi:type="dcterms:W3CDTF">2026-05-31T07:53:07Z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2020-12-01T00:00:00Z</vt:filetime>
  </property>
  <property fmtid="{D5CDD505-2E9C-101B-9397-08002B2CF9AE}" pid="3" name="Creator">
    <vt:lpwstr>WPS 表格</vt:lpwstr>
  </property>
  <property fmtid="{D5CDD505-2E9C-101B-9397-08002B2CF9AE}" pid="4" name="LastSaved">
    <vt:filetime>2020-12-02T00:00:00Z</vt:filetime>
  </property>
  <property fmtid="{D5CDD505-2E9C-101B-9397-08002B2CF9AE}" pid="5" name="KSOProductBuildVer">
    <vt:lpwstr>2052-12.1.0.19302</vt:lpwstr>
  </property>
  <property fmtid="{D5CDD505-2E9C-101B-9397-08002B2CF9AE}" pid="6" name="5B77E7CEEC58BC6AFAE8886BEB80DBEB">
    <vt:lpwstr>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</vt:lpwstr>
  </property>
  <property fmtid="{D5CDD505-2E9C-101B-9397-08002B2CF9AE}" pid="7" name="ICV">
    <vt:lpwstr>B4470AF4975C446CB0B256713E6EDBF1_12</vt:lpwstr>
  </property>
  <property fmtid="{D5CDD505-2E9C-101B-9397-08002B2CF9AE}" pid="8" name="KSOTemplateDocerSaveRecord">
    <vt:lpwstr>eyJoZGlkIjoiNGViMzhlYzIwMzI1ZTM4YzIxYTA5YTE3ZGNkNTkyYTYiLCJ1c2VySWQiOiIxNDc5NjI3OTIyIn0=</vt:lpwstr>
  </property>
</Properties>
</file>